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11CDF" w14:textId="77777777" w:rsidR="006711CB" w:rsidRPr="00DD7574" w:rsidRDefault="006711CB" w:rsidP="006711CB">
      <w:pPr>
        <w:pStyle w:val="Heading3"/>
      </w:pPr>
      <w:r w:rsidRPr="00DD7574">
        <w:t>Using Family Court Judges</w:t>
      </w:r>
    </w:p>
    <w:p w14:paraId="6F2D6AC7" w14:textId="77777777" w:rsidR="006711CB" w:rsidRPr="00B21731" w:rsidRDefault="006711CB" w:rsidP="006711CB">
      <w:r w:rsidRPr="00B21731">
        <w:t xml:space="preserve">1 </w:t>
      </w:r>
      <w:r w:rsidRPr="00B21731">
        <w:rPr>
          <w:u w:val="single"/>
        </w:rPr>
        <w:t>__</w:t>
      </w:r>
      <w:r w:rsidRPr="00B21731">
        <w:t>never, 2 __hardly ever, 3 __sometimes, 4 __often, 5 __quite often, 6 __not applicable, 7 __prefer not to answer</w:t>
      </w:r>
    </w:p>
    <w:tbl>
      <w:tblPr>
        <w:tblW w:w="65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4687"/>
      </w:tblGrid>
      <w:tr w:rsidR="006711CB" w:rsidRPr="00B21731" w14:paraId="32C63F4E" w14:textId="77777777" w:rsidTr="002F22C9">
        <w:trPr>
          <w:trHeight w:val="300"/>
        </w:trPr>
        <w:tc>
          <w:tcPr>
            <w:tcW w:w="1908" w:type="dxa"/>
            <w:shd w:val="clear" w:color="auto" w:fill="auto"/>
            <w:noWrap/>
            <w:hideMark/>
          </w:tcPr>
          <w:p w14:paraId="3C665758" w14:textId="77777777" w:rsidR="006711CB" w:rsidRPr="00A86E1C" w:rsidRDefault="006711CB" w:rsidP="002F22C9">
            <w:pPr>
              <w:rPr>
                <w:color w:val="000000"/>
                <w:sz w:val="20"/>
              </w:rPr>
            </w:pPr>
            <w:r w:rsidRPr="00A86E1C">
              <w:rPr>
                <w:b/>
                <w:bCs/>
                <w:color w:val="000000"/>
                <w:sz w:val="20"/>
              </w:rPr>
              <w:t>After you separated/ divorced</w:t>
            </w:r>
          </w:p>
        </w:tc>
        <w:tc>
          <w:tcPr>
            <w:tcW w:w="5134" w:type="dxa"/>
            <w:shd w:val="clear" w:color="auto" w:fill="auto"/>
            <w:hideMark/>
          </w:tcPr>
          <w:p w14:paraId="3D3198F8" w14:textId="77777777" w:rsidR="006711CB" w:rsidRPr="00A86E1C" w:rsidRDefault="006711CB" w:rsidP="002F22C9">
            <w:pPr>
              <w:rPr>
                <w:sz w:val="20"/>
              </w:rPr>
            </w:pPr>
            <w:r w:rsidRPr="00A86E1C">
              <w:rPr>
                <w:b/>
                <w:bCs/>
                <w:color w:val="000000"/>
                <w:sz w:val="20"/>
              </w:rPr>
              <w:t>Using Family Court Judges</w:t>
            </w:r>
          </w:p>
        </w:tc>
      </w:tr>
      <w:tr w:rsidR="006711CB" w:rsidRPr="00B21731" w14:paraId="6146388A" w14:textId="77777777" w:rsidTr="002F22C9">
        <w:trPr>
          <w:trHeight w:val="332"/>
        </w:trPr>
        <w:tc>
          <w:tcPr>
            <w:tcW w:w="1908" w:type="dxa"/>
            <w:shd w:val="clear" w:color="auto" w:fill="D9D9D9"/>
            <w:noWrap/>
            <w:hideMark/>
          </w:tcPr>
          <w:p w14:paraId="7A776BAC"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D9D9D9"/>
            <w:hideMark/>
          </w:tcPr>
          <w:p w14:paraId="526AAB9B" w14:textId="77777777" w:rsidR="006711CB" w:rsidRPr="00A86E1C" w:rsidRDefault="006711CB" w:rsidP="002F22C9">
            <w:pPr>
              <w:rPr>
                <w:sz w:val="20"/>
              </w:rPr>
            </w:pPr>
            <w:r w:rsidRPr="00A86E1C">
              <w:rPr>
                <w:color w:val="000000"/>
                <w:sz w:val="20"/>
              </w:rPr>
              <w:t xml:space="preserve">1. The judge ordered you to have </w:t>
            </w:r>
            <w:proofErr w:type="gramStart"/>
            <w:r w:rsidRPr="00A86E1C">
              <w:rPr>
                <w:color w:val="000000"/>
                <w:sz w:val="20"/>
              </w:rPr>
              <w:t>visitation</w:t>
            </w:r>
            <w:proofErr w:type="gramEnd"/>
            <w:r w:rsidRPr="00A86E1C">
              <w:rPr>
                <w:color w:val="000000"/>
                <w:sz w:val="20"/>
              </w:rPr>
              <w:t xml:space="preserve"> only at the father's discretion.</w:t>
            </w:r>
            <w:r w:rsidRPr="00A86E1C">
              <w:rPr>
                <w:rStyle w:val="EndnoteReference"/>
                <w:rFonts w:ascii="Times New Roman" w:hAnsi="Times New Roman"/>
                <w:color w:val="000000"/>
                <w:sz w:val="20"/>
              </w:rPr>
              <w:endnoteReference w:id="1"/>
            </w:r>
          </w:p>
        </w:tc>
      </w:tr>
      <w:tr w:rsidR="006711CB" w:rsidRPr="00B21731" w14:paraId="724A79F0" w14:textId="77777777" w:rsidTr="002F22C9">
        <w:trPr>
          <w:trHeight w:val="269"/>
        </w:trPr>
        <w:tc>
          <w:tcPr>
            <w:tcW w:w="1908" w:type="dxa"/>
            <w:shd w:val="clear" w:color="auto" w:fill="auto"/>
            <w:noWrap/>
            <w:hideMark/>
          </w:tcPr>
          <w:p w14:paraId="5DF4012A"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auto"/>
            <w:hideMark/>
          </w:tcPr>
          <w:p w14:paraId="74DD8BD6" w14:textId="77777777" w:rsidR="006711CB" w:rsidRPr="00A86E1C" w:rsidRDefault="006711CB" w:rsidP="002F22C9">
            <w:pPr>
              <w:rPr>
                <w:color w:val="000000"/>
                <w:sz w:val="20"/>
              </w:rPr>
            </w:pPr>
            <w:r w:rsidRPr="00A86E1C">
              <w:rPr>
                <w:color w:val="000000"/>
                <w:sz w:val="20"/>
              </w:rPr>
              <w:t xml:space="preserve">2. The judge </w:t>
            </w:r>
            <w:proofErr w:type="gramStart"/>
            <w:r w:rsidRPr="00A86E1C">
              <w:rPr>
                <w:color w:val="000000"/>
                <w:sz w:val="20"/>
              </w:rPr>
              <w:t>threatened</w:t>
            </w:r>
            <w:proofErr w:type="gramEnd"/>
            <w:r w:rsidRPr="00A86E1C">
              <w:rPr>
                <w:color w:val="000000"/>
                <w:sz w:val="20"/>
              </w:rPr>
              <w:t xml:space="preserve"> dire consequences if you </w:t>
            </w:r>
            <w:r>
              <w:rPr>
                <w:color w:val="000000"/>
                <w:sz w:val="20"/>
              </w:rPr>
              <w:t>failed to</w:t>
            </w:r>
            <w:r w:rsidRPr="00A86E1C">
              <w:rPr>
                <w:color w:val="000000"/>
                <w:sz w:val="20"/>
              </w:rPr>
              <w:t xml:space="preserve"> obey.</w:t>
            </w:r>
            <w:r w:rsidRPr="00A86E1C">
              <w:rPr>
                <w:rStyle w:val="EndnoteReference"/>
                <w:rFonts w:ascii="Times New Roman" w:hAnsi="Times New Roman"/>
                <w:color w:val="000000"/>
                <w:sz w:val="20"/>
              </w:rPr>
              <w:endnoteReference w:id="2"/>
            </w:r>
          </w:p>
        </w:tc>
      </w:tr>
      <w:tr w:rsidR="006711CB" w:rsidRPr="00B21731" w14:paraId="322A25E1" w14:textId="77777777" w:rsidTr="002F22C9">
        <w:trPr>
          <w:trHeight w:val="555"/>
        </w:trPr>
        <w:tc>
          <w:tcPr>
            <w:tcW w:w="1908" w:type="dxa"/>
            <w:shd w:val="clear" w:color="auto" w:fill="D9D9D9"/>
            <w:hideMark/>
          </w:tcPr>
          <w:p w14:paraId="2E34ED4A"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D9D9D9"/>
            <w:hideMark/>
          </w:tcPr>
          <w:p w14:paraId="3F800886" w14:textId="77777777" w:rsidR="006711CB" w:rsidRPr="00A86E1C" w:rsidRDefault="006711CB" w:rsidP="002F22C9">
            <w:pPr>
              <w:rPr>
                <w:rFonts w:ascii="Helvetica Neue" w:hAnsi="Helvetica Neue"/>
                <w:color w:val="222222"/>
                <w:sz w:val="20"/>
              </w:rPr>
            </w:pPr>
            <w:r w:rsidRPr="00A86E1C">
              <w:rPr>
                <w:color w:val="000000"/>
                <w:sz w:val="20"/>
              </w:rPr>
              <w:t>3. The judge treated you with a father-like attitude, denial of protection, and treated your claims as lies.</w:t>
            </w:r>
            <w:r w:rsidRPr="00A86E1C">
              <w:rPr>
                <w:rStyle w:val="EndnoteReference"/>
                <w:rFonts w:ascii="Times New Roman" w:hAnsi="Times New Roman"/>
                <w:sz w:val="20"/>
              </w:rPr>
              <w:endnoteReference w:id="3"/>
            </w:r>
            <w:r w:rsidRPr="00A86E1C">
              <w:rPr>
                <w:color w:val="000000"/>
                <w:sz w:val="20"/>
                <w:vertAlign w:val="superscript"/>
              </w:rPr>
              <w:t>,</w:t>
            </w:r>
            <w:r w:rsidRPr="00A86E1C">
              <w:rPr>
                <w:rStyle w:val="EndnoteReference"/>
                <w:rFonts w:ascii="Times New Roman" w:hAnsi="Times New Roman"/>
                <w:color w:val="000000"/>
                <w:sz w:val="20"/>
              </w:rPr>
              <w:endnoteReference w:id="4"/>
            </w:r>
            <w:r w:rsidRPr="00A86E1C">
              <w:rPr>
                <w:rFonts w:ascii="Helvetica Neue" w:hAnsi="Helvetica Neue"/>
                <w:color w:val="222222"/>
                <w:sz w:val="20"/>
              </w:rPr>
              <w:t xml:space="preserve"> </w:t>
            </w:r>
          </w:p>
          <w:p w14:paraId="2DD3D1F3" w14:textId="77777777" w:rsidR="006711CB" w:rsidRPr="00A86E1C" w:rsidRDefault="006711CB" w:rsidP="002F22C9">
            <w:pPr>
              <w:rPr>
                <w:sz w:val="20"/>
              </w:rPr>
            </w:pPr>
          </w:p>
        </w:tc>
      </w:tr>
      <w:tr w:rsidR="006711CB" w:rsidRPr="00B21731" w14:paraId="3C62A2C6" w14:textId="77777777" w:rsidTr="002F22C9">
        <w:trPr>
          <w:trHeight w:val="678"/>
        </w:trPr>
        <w:tc>
          <w:tcPr>
            <w:tcW w:w="1908" w:type="dxa"/>
            <w:shd w:val="clear" w:color="auto" w:fill="auto"/>
            <w:hideMark/>
          </w:tcPr>
          <w:p w14:paraId="15FBF0F9"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auto"/>
            <w:hideMark/>
          </w:tcPr>
          <w:p w14:paraId="7D5837D3" w14:textId="77777777" w:rsidR="006711CB" w:rsidRPr="00A86E1C" w:rsidRDefault="006711CB" w:rsidP="002F22C9">
            <w:pPr>
              <w:rPr>
                <w:color w:val="000000"/>
                <w:sz w:val="20"/>
              </w:rPr>
            </w:pPr>
            <w:r w:rsidRPr="00A86E1C">
              <w:rPr>
                <w:color w:val="000000"/>
                <w:sz w:val="20"/>
              </w:rPr>
              <w:t xml:space="preserve">4. The judge kept you from moving away from the </w:t>
            </w:r>
            <w:r>
              <w:rPr>
                <w:color w:val="000000"/>
                <w:sz w:val="20"/>
              </w:rPr>
              <w:t>coercive controll</w:t>
            </w:r>
            <w:r w:rsidRPr="00A86E1C">
              <w:rPr>
                <w:color w:val="000000"/>
                <w:sz w:val="20"/>
              </w:rPr>
              <w:t>er and kept you from family and resources by threatening loss of custody if you relocate.</w:t>
            </w:r>
            <w:r w:rsidRPr="00A86E1C">
              <w:rPr>
                <w:rStyle w:val="EndnoteReference"/>
                <w:rFonts w:ascii="Times New Roman" w:hAnsi="Times New Roman"/>
                <w:color w:val="000000"/>
                <w:sz w:val="20"/>
              </w:rPr>
              <w:endnoteReference w:id="5"/>
            </w:r>
          </w:p>
        </w:tc>
      </w:tr>
      <w:tr w:rsidR="006711CB" w:rsidRPr="00B21731" w14:paraId="04D470CB" w14:textId="77777777" w:rsidTr="002F22C9">
        <w:trPr>
          <w:trHeight w:val="260"/>
        </w:trPr>
        <w:tc>
          <w:tcPr>
            <w:tcW w:w="1908" w:type="dxa"/>
            <w:shd w:val="clear" w:color="auto" w:fill="D9D9D9"/>
            <w:noWrap/>
            <w:hideMark/>
          </w:tcPr>
          <w:p w14:paraId="2F0B48FE"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D9D9D9"/>
            <w:hideMark/>
          </w:tcPr>
          <w:p w14:paraId="5EFC018D" w14:textId="77777777" w:rsidR="006711CB" w:rsidRPr="00A86E1C" w:rsidRDefault="006711CB" w:rsidP="002F22C9">
            <w:pPr>
              <w:rPr>
                <w:sz w:val="20"/>
              </w:rPr>
            </w:pPr>
            <w:r w:rsidRPr="00A86E1C">
              <w:rPr>
                <w:color w:val="000000"/>
                <w:sz w:val="20"/>
              </w:rPr>
              <w:t xml:space="preserve">5. The judge allowed himself or herself to be fooled by your </w:t>
            </w:r>
            <w:r>
              <w:rPr>
                <w:color w:val="000000"/>
                <w:sz w:val="20"/>
              </w:rPr>
              <w:t>coercive controll</w:t>
            </w:r>
            <w:r w:rsidRPr="00A86E1C">
              <w:rPr>
                <w:color w:val="000000"/>
                <w:sz w:val="20"/>
              </w:rPr>
              <w:t>er’s charm.</w:t>
            </w:r>
            <w:r w:rsidRPr="00A86E1C">
              <w:rPr>
                <w:rStyle w:val="EndnoteReference"/>
                <w:rFonts w:ascii="Times New Roman" w:hAnsi="Times New Roman"/>
                <w:color w:val="000000"/>
                <w:sz w:val="20"/>
              </w:rPr>
              <w:endnoteReference w:id="6"/>
            </w:r>
            <w:r w:rsidRPr="00A86E1C">
              <w:rPr>
                <w:color w:val="000000"/>
                <w:sz w:val="20"/>
                <w:vertAlign w:val="superscript"/>
              </w:rPr>
              <w:t xml:space="preserve">  </w:t>
            </w:r>
          </w:p>
        </w:tc>
      </w:tr>
      <w:tr w:rsidR="006711CB" w:rsidRPr="00B21731" w14:paraId="68AED6D3" w14:textId="77777777" w:rsidTr="002F22C9">
        <w:trPr>
          <w:trHeight w:val="810"/>
        </w:trPr>
        <w:tc>
          <w:tcPr>
            <w:tcW w:w="1908" w:type="dxa"/>
            <w:shd w:val="clear" w:color="auto" w:fill="auto"/>
            <w:noWrap/>
            <w:hideMark/>
          </w:tcPr>
          <w:p w14:paraId="64F7C4CE"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auto"/>
            <w:hideMark/>
          </w:tcPr>
          <w:p w14:paraId="1046015C" w14:textId="77777777" w:rsidR="006711CB" w:rsidRPr="00A86E1C" w:rsidRDefault="006711CB" w:rsidP="002F22C9">
            <w:pPr>
              <w:rPr>
                <w:sz w:val="20"/>
              </w:rPr>
            </w:pPr>
            <w:r w:rsidRPr="00A86E1C">
              <w:rPr>
                <w:color w:val="000000"/>
                <w:sz w:val="20"/>
              </w:rPr>
              <w:t xml:space="preserve">6. The judge charged you with contempt and jailed you for </w:t>
            </w:r>
            <w:r>
              <w:rPr>
                <w:color w:val="000000"/>
                <w:sz w:val="20"/>
              </w:rPr>
              <w:t xml:space="preserve">failing to </w:t>
            </w:r>
            <w:r w:rsidRPr="00A86E1C">
              <w:rPr>
                <w:color w:val="000000"/>
                <w:sz w:val="20"/>
              </w:rPr>
              <w:t>provide a cell phone for your child, even though the child has access to other phones or communication methods to use to communicate with the other parent.</w:t>
            </w:r>
            <w:r w:rsidRPr="00A86E1C">
              <w:rPr>
                <w:rStyle w:val="EndnoteReference"/>
                <w:rFonts w:ascii="Times New Roman" w:hAnsi="Times New Roman"/>
                <w:color w:val="000000"/>
                <w:sz w:val="20"/>
              </w:rPr>
              <w:endnoteReference w:id="7"/>
            </w:r>
          </w:p>
        </w:tc>
      </w:tr>
      <w:tr w:rsidR="006711CB" w:rsidRPr="00B21731" w14:paraId="552C54C7" w14:textId="77777777" w:rsidTr="002F22C9">
        <w:trPr>
          <w:trHeight w:val="476"/>
        </w:trPr>
        <w:tc>
          <w:tcPr>
            <w:tcW w:w="1908" w:type="dxa"/>
            <w:shd w:val="clear" w:color="auto" w:fill="D9D9D9"/>
            <w:noWrap/>
            <w:hideMark/>
          </w:tcPr>
          <w:p w14:paraId="16744388"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D9D9D9"/>
            <w:hideMark/>
          </w:tcPr>
          <w:p w14:paraId="054F7AF2" w14:textId="77777777" w:rsidR="006711CB" w:rsidRPr="00A86E1C" w:rsidRDefault="006711CB" w:rsidP="002F22C9">
            <w:pPr>
              <w:rPr>
                <w:sz w:val="20"/>
                <w:vertAlign w:val="superscript"/>
              </w:rPr>
            </w:pPr>
            <w:r w:rsidRPr="00A86E1C">
              <w:rPr>
                <w:color w:val="000000"/>
                <w:sz w:val="20"/>
              </w:rPr>
              <w:t xml:space="preserve">7. The judge put you in jail for protecting your children from an abusive (sexually, </w:t>
            </w:r>
            <w:proofErr w:type="gramStart"/>
            <w:r w:rsidRPr="00A86E1C">
              <w:rPr>
                <w:color w:val="000000"/>
                <w:sz w:val="20"/>
              </w:rPr>
              <w:t>physically</w:t>
            </w:r>
            <w:proofErr w:type="gramEnd"/>
            <w:r w:rsidRPr="00A86E1C">
              <w:rPr>
                <w:color w:val="000000"/>
                <w:sz w:val="20"/>
              </w:rPr>
              <w:t>, emotionally) father.</w:t>
            </w:r>
            <w:r w:rsidRPr="00A86E1C">
              <w:rPr>
                <w:rStyle w:val="EndnoteReference"/>
                <w:rFonts w:ascii="Times New Roman" w:hAnsi="Times New Roman"/>
                <w:color w:val="000000"/>
                <w:sz w:val="20"/>
              </w:rPr>
              <w:endnoteReference w:id="8"/>
            </w:r>
          </w:p>
        </w:tc>
      </w:tr>
      <w:tr w:rsidR="006711CB" w:rsidRPr="00B21731" w14:paraId="3C1C6960" w14:textId="77777777" w:rsidTr="002F22C9">
        <w:trPr>
          <w:trHeight w:val="431"/>
        </w:trPr>
        <w:tc>
          <w:tcPr>
            <w:tcW w:w="1908" w:type="dxa"/>
            <w:shd w:val="clear" w:color="auto" w:fill="auto"/>
            <w:noWrap/>
            <w:hideMark/>
          </w:tcPr>
          <w:p w14:paraId="20BD3F58"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auto"/>
            <w:hideMark/>
          </w:tcPr>
          <w:p w14:paraId="1733DFC6" w14:textId="77777777" w:rsidR="006711CB" w:rsidRPr="00A86E1C" w:rsidRDefault="006711CB" w:rsidP="002F22C9">
            <w:pPr>
              <w:rPr>
                <w:sz w:val="20"/>
              </w:rPr>
            </w:pPr>
            <w:r w:rsidRPr="00A86E1C">
              <w:rPr>
                <w:color w:val="000000"/>
                <w:sz w:val="20"/>
              </w:rPr>
              <w:t xml:space="preserve">8. The judge used the </w:t>
            </w:r>
            <w:r>
              <w:rPr>
                <w:color w:val="000000"/>
                <w:sz w:val="20"/>
              </w:rPr>
              <w:t>coercive controll</w:t>
            </w:r>
            <w:r w:rsidRPr="00A86E1C">
              <w:rPr>
                <w:color w:val="000000"/>
                <w:sz w:val="20"/>
              </w:rPr>
              <w:t>er’s previous threats to take your children away from you, making this nightmare come true.</w:t>
            </w:r>
            <w:r w:rsidRPr="00A86E1C">
              <w:rPr>
                <w:rStyle w:val="EndnoteReference"/>
                <w:rFonts w:ascii="Times New Roman" w:hAnsi="Times New Roman"/>
                <w:color w:val="000000"/>
                <w:sz w:val="20"/>
              </w:rPr>
              <w:endnoteReference w:id="9"/>
            </w:r>
            <w:r w:rsidRPr="00A86E1C">
              <w:rPr>
                <w:color w:val="000000"/>
                <w:sz w:val="20"/>
                <w:vertAlign w:val="superscript"/>
              </w:rPr>
              <w:t xml:space="preserve">  </w:t>
            </w:r>
          </w:p>
        </w:tc>
      </w:tr>
      <w:tr w:rsidR="006711CB" w:rsidRPr="00B21731" w14:paraId="5E0D8A7D" w14:textId="77777777" w:rsidTr="002F22C9">
        <w:trPr>
          <w:trHeight w:val="750"/>
        </w:trPr>
        <w:tc>
          <w:tcPr>
            <w:tcW w:w="1908" w:type="dxa"/>
            <w:shd w:val="clear" w:color="auto" w:fill="D9D9D9"/>
            <w:noWrap/>
            <w:hideMark/>
          </w:tcPr>
          <w:p w14:paraId="2903556D"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D9D9D9"/>
            <w:hideMark/>
          </w:tcPr>
          <w:p w14:paraId="7FF1105C" w14:textId="77777777" w:rsidR="006711CB" w:rsidRPr="00A86E1C" w:rsidRDefault="006711CB" w:rsidP="002F22C9">
            <w:pPr>
              <w:rPr>
                <w:sz w:val="20"/>
              </w:rPr>
            </w:pPr>
            <w:r w:rsidRPr="00A86E1C">
              <w:rPr>
                <w:color w:val="000000"/>
                <w:sz w:val="20"/>
              </w:rPr>
              <w:t>9. The judge ordered you into “alienation therapy” to learn how to stop “alienating” the children from their father.</w:t>
            </w:r>
            <w:r w:rsidRPr="00A86E1C">
              <w:rPr>
                <w:rStyle w:val="EndnoteReference"/>
                <w:rFonts w:ascii="Times New Roman" w:hAnsi="Times New Roman"/>
                <w:sz w:val="20"/>
              </w:rPr>
              <w:endnoteReference w:id="10"/>
            </w:r>
            <w:r w:rsidRPr="00A86E1C">
              <w:rPr>
                <w:color w:val="000000"/>
                <w:sz w:val="20"/>
                <w:vertAlign w:val="superscript"/>
              </w:rPr>
              <w:t>,</w:t>
            </w:r>
            <w:r w:rsidRPr="00A86E1C">
              <w:rPr>
                <w:rStyle w:val="EndnoteReference"/>
                <w:rFonts w:ascii="Times New Roman" w:hAnsi="Times New Roman"/>
                <w:color w:val="000000"/>
                <w:sz w:val="20"/>
              </w:rPr>
              <w:endnoteReference w:id="11"/>
            </w:r>
          </w:p>
        </w:tc>
      </w:tr>
      <w:tr w:rsidR="006711CB" w:rsidRPr="00B21731" w14:paraId="3F655CA8" w14:textId="77777777" w:rsidTr="002F22C9">
        <w:trPr>
          <w:trHeight w:val="701"/>
        </w:trPr>
        <w:tc>
          <w:tcPr>
            <w:tcW w:w="1908" w:type="dxa"/>
            <w:shd w:val="clear" w:color="auto" w:fill="auto"/>
            <w:noWrap/>
            <w:hideMark/>
          </w:tcPr>
          <w:p w14:paraId="4886BAFF"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auto"/>
            <w:hideMark/>
          </w:tcPr>
          <w:p w14:paraId="73C09D74" w14:textId="77777777" w:rsidR="006711CB" w:rsidRPr="00A86E1C" w:rsidRDefault="006711CB" w:rsidP="002F22C9">
            <w:pPr>
              <w:rPr>
                <w:sz w:val="20"/>
              </w:rPr>
            </w:pPr>
            <w:r w:rsidRPr="00A86E1C">
              <w:rPr>
                <w:color w:val="000000"/>
                <w:sz w:val="20"/>
              </w:rPr>
              <w:t>10. You wanted to move away and were prevented from moving away with your children even if this would allow them to survive economically and psychologically.</w:t>
            </w:r>
            <w:r w:rsidRPr="00A86E1C">
              <w:rPr>
                <w:rStyle w:val="EndnoteReference"/>
                <w:rFonts w:ascii="Times New Roman" w:hAnsi="Times New Roman"/>
                <w:color w:val="000000"/>
                <w:sz w:val="20"/>
              </w:rPr>
              <w:endnoteReference w:id="12"/>
            </w:r>
            <w:r w:rsidRPr="00A86E1C">
              <w:rPr>
                <w:color w:val="000000"/>
                <w:sz w:val="20"/>
                <w:vertAlign w:val="superscript"/>
              </w:rPr>
              <w:t>,</w:t>
            </w:r>
            <w:r w:rsidRPr="00A86E1C">
              <w:rPr>
                <w:rStyle w:val="EndnoteReference"/>
                <w:rFonts w:ascii="Times New Roman" w:hAnsi="Times New Roman"/>
                <w:color w:val="000000"/>
                <w:sz w:val="20"/>
              </w:rPr>
              <w:endnoteReference w:id="13"/>
            </w:r>
          </w:p>
        </w:tc>
      </w:tr>
      <w:tr w:rsidR="006711CB" w:rsidRPr="00B21731" w14:paraId="50661677" w14:textId="77777777" w:rsidTr="002F22C9">
        <w:trPr>
          <w:trHeight w:val="539"/>
        </w:trPr>
        <w:tc>
          <w:tcPr>
            <w:tcW w:w="1908" w:type="dxa"/>
            <w:shd w:val="clear" w:color="auto" w:fill="D9D9D9"/>
            <w:noWrap/>
            <w:hideMark/>
          </w:tcPr>
          <w:p w14:paraId="2EA07A11"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D9D9D9"/>
            <w:hideMark/>
          </w:tcPr>
          <w:p w14:paraId="5D779A44" w14:textId="77777777" w:rsidR="006711CB" w:rsidRPr="00A86E1C" w:rsidRDefault="006711CB" w:rsidP="002F22C9">
            <w:pPr>
              <w:rPr>
                <w:sz w:val="20"/>
              </w:rPr>
            </w:pPr>
            <w:r w:rsidRPr="00A86E1C">
              <w:rPr>
                <w:color w:val="000000"/>
                <w:sz w:val="20"/>
              </w:rPr>
              <w:t>11. The judge refused to issue or enforce adequate child support, spousal maintenance, or alimony orders, and can reinforce this control.</w:t>
            </w:r>
            <w:r w:rsidRPr="00A86E1C">
              <w:rPr>
                <w:rStyle w:val="EndnoteReference"/>
                <w:rFonts w:ascii="Times New Roman" w:hAnsi="Times New Roman"/>
                <w:sz w:val="20"/>
              </w:rPr>
              <w:endnoteReference w:id="14"/>
            </w:r>
          </w:p>
        </w:tc>
      </w:tr>
      <w:tr w:rsidR="006711CB" w:rsidRPr="00B21731" w14:paraId="352D288C" w14:textId="77777777" w:rsidTr="002F22C9">
        <w:trPr>
          <w:trHeight w:val="701"/>
        </w:trPr>
        <w:tc>
          <w:tcPr>
            <w:tcW w:w="1908" w:type="dxa"/>
            <w:shd w:val="clear" w:color="auto" w:fill="auto"/>
            <w:noWrap/>
            <w:hideMark/>
          </w:tcPr>
          <w:p w14:paraId="7778C56B"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auto"/>
            <w:hideMark/>
          </w:tcPr>
          <w:p w14:paraId="6F3A932D" w14:textId="77777777" w:rsidR="006711CB" w:rsidRPr="00A86E1C" w:rsidRDefault="006711CB" w:rsidP="002F22C9">
            <w:pPr>
              <w:rPr>
                <w:color w:val="000000"/>
                <w:sz w:val="20"/>
              </w:rPr>
            </w:pPr>
            <w:r w:rsidRPr="00A86E1C">
              <w:rPr>
                <w:color w:val="000000"/>
                <w:sz w:val="20"/>
              </w:rPr>
              <w:t>12. Your ex kidnapped your child and then became assaultive to others after you found him. Multiple people pressed charges, and your ex was arrested. He was released without bail, once the judge understood it was a "domestic matter."</w:t>
            </w:r>
            <w:r w:rsidRPr="00A86E1C">
              <w:rPr>
                <w:rStyle w:val="EndnoteReference"/>
                <w:rFonts w:ascii="Times New Roman" w:hAnsi="Times New Roman"/>
                <w:color w:val="000000"/>
                <w:sz w:val="20"/>
              </w:rPr>
              <w:endnoteReference w:id="15"/>
            </w:r>
          </w:p>
        </w:tc>
      </w:tr>
      <w:tr w:rsidR="006711CB" w:rsidRPr="00B21731" w14:paraId="26CF115B" w14:textId="77777777" w:rsidTr="002F22C9">
        <w:trPr>
          <w:trHeight w:val="710"/>
        </w:trPr>
        <w:tc>
          <w:tcPr>
            <w:tcW w:w="1908" w:type="dxa"/>
            <w:shd w:val="clear" w:color="auto" w:fill="D9D9D9"/>
            <w:noWrap/>
            <w:hideMark/>
          </w:tcPr>
          <w:p w14:paraId="20795ECC" w14:textId="77777777" w:rsidR="006711CB" w:rsidRPr="00A86E1C" w:rsidRDefault="006711CB" w:rsidP="002F22C9">
            <w:pPr>
              <w:rPr>
                <w:b/>
                <w:bCs/>
                <w:color w:val="000000"/>
                <w:sz w:val="20"/>
              </w:rPr>
            </w:pPr>
            <w:r w:rsidRPr="00A86E1C">
              <w:rPr>
                <w:b/>
                <w:bCs/>
                <w:color w:val="000000"/>
                <w:sz w:val="20"/>
              </w:rPr>
              <w:lastRenderedPageBreak/>
              <w:t>1 2 3 4 5 6 7</w:t>
            </w:r>
          </w:p>
        </w:tc>
        <w:tc>
          <w:tcPr>
            <w:tcW w:w="5134" w:type="dxa"/>
            <w:shd w:val="clear" w:color="auto" w:fill="D9D9D9"/>
            <w:hideMark/>
          </w:tcPr>
          <w:p w14:paraId="6B368D13" w14:textId="77777777" w:rsidR="006711CB" w:rsidRPr="00A86E1C" w:rsidRDefault="006711CB" w:rsidP="002F22C9">
            <w:pPr>
              <w:rPr>
                <w:sz w:val="20"/>
              </w:rPr>
            </w:pPr>
            <w:r w:rsidRPr="00A86E1C">
              <w:rPr>
                <w:color w:val="000000"/>
                <w:sz w:val="20"/>
              </w:rPr>
              <w:t>13. The judge viewed your unwillingness to consider joint custody</w:t>
            </w:r>
            <w:r>
              <w:rPr>
                <w:color w:val="000000"/>
                <w:sz w:val="20"/>
              </w:rPr>
              <w:t>/parenting time</w:t>
            </w:r>
            <w:r w:rsidRPr="00A86E1C">
              <w:rPr>
                <w:color w:val="000000"/>
                <w:sz w:val="20"/>
              </w:rPr>
              <w:t xml:space="preserve"> with an ex-partner who had never been </w:t>
            </w:r>
            <w:r w:rsidRPr="00A86E1C">
              <w:rPr>
                <w:i/>
                <w:color w:val="000000"/>
                <w:sz w:val="20"/>
              </w:rPr>
              <w:t>formally</w:t>
            </w:r>
            <w:r w:rsidRPr="00A86E1C">
              <w:rPr>
                <w:color w:val="000000"/>
                <w:sz w:val="20"/>
              </w:rPr>
              <w:t xml:space="preserve"> charged with abuse or domestic violence as unreasonable.</w:t>
            </w:r>
            <w:r w:rsidRPr="00A86E1C">
              <w:rPr>
                <w:rStyle w:val="EndnoteReference"/>
                <w:rFonts w:ascii="Times New Roman" w:hAnsi="Times New Roman"/>
                <w:sz w:val="20"/>
              </w:rPr>
              <w:endnoteReference w:id="16"/>
            </w:r>
            <w:r w:rsidRPr="00A86E1C">
              <w:rPr>
                <w:color w:val="000000"/>
                <w:sz w:val="20"/>
                <w:vertAlign w:val="superscript"/>
              </w:rPr>
              <w:t>,</w:t>
            </w:r>
            <w:r w:rsidRPr="00A86E1C">
              <w:rPr>
                <w:rStyle w:val="EndnoteReference"/>
                <w:rFonts w:ascii="Times New Roman" w:hAnsi="Times New Roman"/>
                <w:color w:val="000000"/>
                <w:sz w:val="20"/>
              </w:rPr>
              <w:endnoteReference w:id="17"/>
            </w:r>
          </w:p>
        </w:tc>
      </w:tr>
      <w:tr w:rsidR="006711CB" w:rsidRPr="00B21731" w14:paraId="5BE9F5FD" w14:textId="77777777" w:rsidTr="002F22C9">
        <w:trPr>
          <w:trHeight w:val="530"/>
        </w:trPr>
        <w:tc>
          <w:tcPr>
            <w:tcW w:w="1908" w:type="dxa"/>
            <w:shd w:val="clear" w:color="auto" w:fill="auto"/>
            <w:noWrap/>
            <w:hideMark/>
          </w:tcPr>
          <w:p w14:paraId="70D9A8D9"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auto"/>
            <w:hideMark/>
          </w:tcPr>
          <w:p w14:paraId="692F7009" w14:textId="77777777" w:rsidR="006711CB" w:rsidRPr="00A86E1C" w:rsidRDefault="006711CB" w:rsidP="002F22C9">
            <w:pPr>
              <w:rPr>
                <w:color w:val="000000"/>
                <w:sz w:val="20"/>
                <w:vertAlign w:val="superscript"/>
              </w:rPr>
            </w:pPr>
            <w:r w:rsidRPr="00A86E1C">
              <w:rPr>
                <w:color w:val="000000"/>
                <w:sz w:val="20"/>
              </w:rPr>
              <w:t xml:space="preserve">14. The judge </w:t>
            </w:r>
            <w:r>
              <w:rPr>
                <w:color w:val="000000"/>
                <w:sz w:val="20"/>
              </w:rPr>
              <w:t>was untrained about</w:t>
            </w:r>
            <w:r w:rsidRPr="00A86E1C">
              <w:rPr>
                <w:color w:val="000000"/>
                <w:sz w:val="20"/>
              </w:rPr>
              <w:t xml:space="preserve"> domestic violence</w:t>
            </w:r>
            <w:r>
              <w:rPr>
                <w:color w:val="000000"/>
                <w:sz w:val="20"/>
              </w:rPr>
              <w:t>/ coercive control</w:t>
            </w:r>
            <w:r w:rsidRPr="00A86E1C">
              <w:rPr>
                <w:color w:val="000000"/>
                <w:sz w:val="20"/>
              </w:rPr>
              <w:t xml:space="preserve"> </w:t>
            </w:r>
            <w:proofErr w:type="gramStart"/>
            <w:r w:rsidRPr="00A86E1C">
              <w:rPr>
                <w:color w:val="000000"/>
                <w:sz w:val="20"/>
              </w:rPr>
              <w:t>victims, and</w:t>
            </w:r>
            <w:proofErr w:type="gramEnd"/>
            <w:r w:rsidRPr="00A86E1C">
              <w:rPr>
                <w:color w:val="000000"/>
                <w:sz w:val="20"/>
              </w:rPr>
              <w:t xml:space="preserve"> misread how you looked or acted in court. For example, the judge viewed your passive behavior and well-groomed appearance as evidence that the domestic violence</w:t>
            </w:r>
            <w:r>
              <w:rPr>
                <w:color w:val="000000"/>
                <w:sz w:val="20"/>
              </w:rPr>
              <w:t>/coercive control</w:t>
            </w:r>
            <w:r w:rsidRPr="00A86E1C">
              <w:rPr>
                <w:color w:val="000000"/>
                <w:sz w:val="20"/>
              </w:rPr>
              <w:t xml:space="preserve"> </w:t>
            </w:r>
            <w:r>
              <w:rPr>
                <w:color w:val="000000"/>
                <w:sz w:val="20"/>
              </w:rPr>
              <w:t>was</w:t>
            </w:r>
            <w:r w:rsidRPr="00A86E1C">
              <w:rPr>
                <w:color w:val="000000"/>
                <w:sz w:val="20"/>
              </w:rPr>
              <w:t xml:space="preserve"> </w:t>
            </w:r>
            <w:r>
              <w:rPr>
                <w:color w:val="000000"/>
                <w:sz w:val="20"/>
              </w:rPr>
              <w:t>un</w:t>
            </w:r>
            <w:r w:rsidRPr="00A86E1C">
              <w:rPr>
                <w:color w:val="000000"/>
                <w:sz w:val="20"/>
              </w:rPr>
              <w:t>harm</w:t>
            </w:r>
            <w:r>
              <w:rPr>
                <w:color w:val="000000"/>
                <w:sz w:val="20"/>
              </w:rPr>
              <w:t>ful to</w:t>
            </w:r>
            <w:r w:rsidRPr="00A86E1C">
              <w:rPr>
                <w:color w:val="000000"/>
                <w:sz w:val="20"/>
              </w:rPr>
              <w:t xml:space="preserve"> you; the judge viewed your emotional behavior and exhausted appearance as evidence that you were “too emotional,” mentally ill, perhaps lied about the </w:t>
            </w:r>
            <w:r>
              <w:rPr>
                <w:color w:val="000000"/>
                <w:sz w:val="20"/>
              </w:rPr>
              <w:t>coercive control</w:t>
            </w:r>
            <w:r w:rsidRPr="00A86E1C">
              <w:rPr>
                <w:color w:val="000000"/>
                <w:sz w:val="20"/>
              </w:rPr>
              <w:t xml:space="preserve">, or were </w:t>
            </w:r>
            <w:r>
              <w:rPr>
                <w:color w:val="000000"/>
                <w:sz w:val="20"/>
              </w:rPr>
              <w:t>coercive controlling</w:t>
            </w:r>
            <w:r w:rsidRPr="00A86E1C">
              <w:rPr>
                <w:color w:val="000000"/>
                <w:sz w:val="20"/>
              </w:rPr>
              <w:t xml:space="preserve"> yourself. </w:t>
            </w:r>
            <w:r w:rsidRPr="00A86E1C">
              <w:rPr>
                <w:rStyle w:val="EndnoteReference"/>
                <w:rFonts w:ascii="Times New Roman" w:hAnsi="Times New Roman"/>
                <w:color w:val="000000"/>
                <w:sz w:val="20"/>
              </w:rPr>
              <w:endnoteReference w:id="18"/>
            </w:r>
          </w:p>
        </w:tc>
      </w:tr>
      <w:tr w:rsidR="006711CB" w:rsidRPr="00B21731" w14:paraId="1A5F7E3F" w14:textId="77777777" w:rsidTr="002F22C9">
        <w:trPr>
          <w:trHeight w:val="512"/>
        </w:trPr>
        <w:tc>
          <w:tcPr>
            <w:tcW w:w="1908" w:type="dxa"/>
            <w:shd w:val="clear" w:color="auto" w:fill="D9D9D9"/>
            <w:noWrap/>
            <w:hideMark/>
          </w:tcPr>
          <w:p w14:paraId="398EDA41"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D9D9D9"/>
            <w:hideMark/>
          </w:tcPr>
          <w:p w14:paraId="3857C64E" w14:textId="77777777" w:rsidR="006711CB" w:rsidRPr="00A86E1C" w:rsidRDefault="006711CB" w:rsidP="002F22C9">
            <w:pPr>
              <w:rPr>
                <w:sz w:val="20"/>
              </w:rPr>
            </w:pPr>
            <w:r w:rsidRPr="00A86E1C">
              <w:rPr>
                <w:color w:val="000000"/>
                <w:sz w:val="20"/>
              </w:rPr>
              <w:t xml:space="preserve">15. The judge refused to grant or enforce restraining orders against your </w:t>
            </w:r>
            <w:r>
              <w:rPr>
                <w:color w:val="000000"/>
                <w:sz w:val="20"/>
              </w:rPr>
              <w:t>coercive controll</w:t>
            </w:r>
            <w:r w:rsidRPr="00A86E1C">
              <w:rPr>
                <w:color w:val="000000"/>
                <w:sz w:val="20"/>
              </w:rPr>
              <w:t>er partner.</w:t>
            </w:r>
            <w:r w:rsidRPr="00A86E1C">
              <w:rPr>
                <w:rStyle w:val="EndnoteReference"/>
                <w:rFonts w:ascii="Times New Roman" w:hAnsi="Times New Roman"/>
                <w:sz w:val="20"/>
              </w:rPr>
              <w:endnoteReference w:id="19"/>
            </w:r>
          </w:p>
        </w:tc>
      </w:tr>
      <w:tr w:rsidR="006711CB" w:rsidRPr="00B21731" w14:paraId="242A1CE8" w14:textId="77777777" w:rsidTr="002F22C9">
        <w:trPr>
          <w:trHeight w:val="512"/>
        </w:trPr>
        <w:tc>
          <w:tcPr>
            <w:tcW w:w="1908" w:type="dxa"/>
            <w:shd w:val="clear" w:color="auto" w:fill="auto"/>
            <w:noWrap/>
            <w:hideMark/>
          </w:tcPr>
          <w:p w14:paraId="5C7AFD8B"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auto"/>
            <w:hideMark/>
          </w:tcPr>
          <w:p w14:paraId="755DA259" w14:textId="77777777" w:rsidR="006711CB" w:rsidRPr="00A86E1C" w:rsidRDefault="006711CB" w:rsidP="002F22C9">
            <w:pPr>
              <w:rPr>
                <w:sz w:val="20"/>
              </w:rPr>
            </w:pPr>
            <w:r w:rsidRPr="00A86E1C">
              <w:rPr>
                <w:color w:val="000000"/>
                <w:sz w:val="20"/>
              </w:rPr>
              <w:t>16. The judge was inclined to favor the calm, cooperative, controlled (and controlling) father over you, the distressed, anxious, and difficult mother.</w:t>
            </w:r>
            <w:r w:rsidRPr="00A86E1C">
              <w:rPr>
                <w:rStyle w:val="EndnoteReference"/>
                <w:rFonts w:ascii="Times New Roman" w:hAnsi="Times New Roman"/>
                <w:color w:val="000000"/>
                <w:sz w:val="20"/>
              </w:rPr>
              <w:endnoteReference w:id="20"/>
            </w:r>
            <w:r w:rsidRPr="00A86E1C">
              <w:rPr>
                <w:color w:val="000000"/>
                <w:sz w:val="20"/>
                <w:vertAlign w:val="superscript"/>
              </w:rPr>
              <w:t>,</w:t>
            </w:r>
            <w:r w:rsidRPr="00A86E1C">
              <w:rPr>
                <w:rStyle w:val="EndnoteReference"/>
                <w:rFonts w:ascii="Times New Roman" w:hAnsi="Times New Roman"/>
                <w:color w:val="000000"/>
                <w:sz w:val="20"/>
              </w:rPr>
              <w:endnoteReference w:id="21"/>
            </w:r>
            <w:r w:rsidRPr="00A86E1C">
              <w:rPr>
                <w:color w:val="000000"/>
                <w:sz w:val="20"/>
                <w:vertAlign w:val="superscript"/>
              </w:rPr>
              <w:t xml:space="preserve"> </w:t>
            </w:r>
          </w:p>
        </w:tc>
      </w:tr>
      <w:tr w:rsidR="006711CB" w:rsidRPr="00B21731" w14:paraId="7C028B0A" w14:textId="77777777" w:rsidTr="002F22C9">
        <w:trPr>
          <w:trHeight w:val="810"/>
        </w:trPr>
        <w:tc>
          <w:tcPr>
            <w:tcW w:w="1908" w:type="dxa"/>
            <w:shd w:val="clear" w:color="auto" w:fill="D9D9D9"/>
            <w:noWrap/>
            <w:hideMark/>
          </w:tcPr>
          <w:p w14:paraId="7EA3AB65"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D9D9D9"/>
            <w:hideMark/>
          </w:tcPr>
          <w:p w14:paraId="67F34DF4" w14:textId="77777777" w:rsidR="006711CB" w:rsidRPr="00A86E1C" w:rsidRDefault="006711CB" w:rsidP="002F22C9">
            <w:pPr>
              <w:rPr>
                <w:sz w:val="20"/>
              </w:rPr>
            </w:pPr>
            <w:r w:rsidRPr="00A86E1C">
              <w:rPr>
                <w:color w:val="000000"/>
                <w:sz w:val="20"/>
              </w:rPr>
              <w:t>17. The judge refused to consider psychological damage to your children as “abuse” and failed to include the children in safe orders.</w:t>
            </w:r>
            <w:r w:rsidRPr="00A86E1C">
              <w:rPr>
                <w:rStyle w:val="EndnoteReference"/>
                <w:rFonts w:ascii="Times New Roman" w:hAnsi="Times New Roman"/>
                <w:color w:val="000000"/>
                <w:sz w:val="20"/>
              </w:rPr>
              <w:endnoteReference w:id="22"/>
            </w:r>
          </w:p>
        </w:tc>
      </w:tr>
      <w:tr w:rsidR="006711CB" w:rsidRPr="00B21731" w14:paraId="2FBD6FCE" w14:textId="77777777" w:rsidTr="002F22C9">
        <w:trPr>
          <w:trHeight w:val="750"/>
        </w:trPr>
        <w:tc>
          <w:tcPr>
            <w:tcW w:w="1908" w:type="dxa"/>
            <w:shd w:val="clear" w:color="auto" w:fill="auto"/>
            <w:noWrap/>
            <w:hideMark/>
          </w:tcPr>
          <w:p w14:paraId="089CF313"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auto"/>
            <w:hideMark/>
          </w:tcPr>
          <w:p w14:paraId="0825DDDF" w14:textId="77777777" w:rsidR="006711CB" w:rsidRPr="00A86E1C" w:rsidRDefault="006711CB" w:rsidP="002F22C9">
            <w:pPr>
              <w:rPr>
                <w:sz w:val="20"/>
              </w:rPr>
            </w:pPr>
            <w:r w:rsidRPr="00A86E1C">
              <w:rPr>
                <w:color w:val="000000"/>
                <w:sz w:val="20"/>
              </w:rPr>
              <w:t xml:space="preserve">18. The judge issued restraining orders to both your </w:t>
            </w:r>
            <w:r>
              <w:rPr>
                <w:color w:val="000000"/>
                <w:sz w:val="20"/>
              </w:rPr>
              <w:t>coercive controll</w:t>
            </w:r>
            <w:r w:rsidRPr="00A86E1C">
              <w:rPr>
                <w:color w:val="000000"/>
                <w:sz w:val="20"/>
              </w:rPr>
              <w:t xml:space="preserve">er partner and to you, indicating that the </w:t>
            </w:r>
            <w:r>
              <w:rPr>
                <w:color w:val="000000"/>
                <w:sz w:val="20"/>
              </w:rPr>
              <w:t>coercive control</w:t>
            </w:r>
            <w:r w:rsidRPr="00A86E1C">
              <w:rPr>
                <w:color w:val="000000"/>
                <w:sz w:val="20"/>
              </w:rPr>
              <w:t xml:space="preserve"> was partially your fault.</w:t>
            </w:r>
            <w:r w:rsidRPr="00A86E1C">
              <w:rPr>
                <w:rStyle w:val="EndnoteReference"/>
                <w:rFonts w:ascii="Times New Roman" w:hAnsi="Times New Roman"/>
                <w:color w:val="000000"/>
                <w:sz w:val="20"/>
              </w:rPr>
              <w:endnoteReference w:id="23"/>
            </w:r>
            <w:r w:rsidRPr="00A86E1C">
              <w:rPr>
                <w:color w:val="000000"/>
                <w:sz w:val="20"/>
                <w:vertAlign w:val="superscript"/>
              </w:rPr>
              <w:t>,</w:t>
            </w:r>
            <w:r w:rsidRPr="00A86E1C">
              <w:rPr>
                <w:rStyle w:val="EndnoteReference"/>
                <w:rFonts w:ascii="Times New Roman" w:hAnsi="Times New Roman"/>
                <w:color w:val="000000"/>
                <w:sz w:val="20"/>
              </w:rPr>
              <w:endnoteReference w:id="24"/>
            </w:r>
          </w:p>
        </w:tc>
      </w:tr>
      <w:tr w:rsidR="006711CB" w:rsidRPr="00B21731" w14:paraId="53D7AF8C" w14:textId="77777777" w:rsidTr="002F22C9">
        <w:trPr>
          <w:trHeight w:val="1043"/>
        </w:trPr>
        <w:tc>
          <w:tcPr>
            <w:tcW w:w="1908" w:type="dxa"/>
            <w:shd w:val="clear" w:color="auto" w:fill="D9D9D9"/>
            <w:noWrap/>
            <w:hideMark/>
          </w:tcPr>
          <w:p w14:paraId="117709BB"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D9D9D9"/>
            <w:hideMark/>
          </w:tcPr>
          <w:p w14:paraId="1EBD00E2" w14:textId="77777777" w:rsidR="006711CB" w:rsidRPr="00A86E1C" w:rsidRDefault="006711CB" w:rsidP="002F22C9">
            <w:pPr>
              <w:rPr>
                <w:sz w:val="20"/>
              </w:rPr>
            </w:pPr>
            <w:r w:rsidRPr="00A86E1C">
              <w:rPr>
                <w:color w:val="000000"/>
                <w:sz w:val="20"/>
              </w:rPr>
              <w:t xml:space="preserve">19. The judge viewed counseling received by the </w:t>
            </w:r>
            <w:r>
              <w:rPr>
                <w:color w:val="000000"/>
                <w:sz w:val="20"/>
              </w:rPr>
              <w:t>coercive controll</w:t>
            </w:r>
            <w:r w:rsidRPr="00A86E1C">
              <w:rPr>
                <w:color w:val="000000"/>
                <w:sz w:val="20"/>
              </w:rPr>
              <w:t>er as a “cure,” and with no evidence of recent domestic violence</w:t>
            </w:r>
            <w:r>
              <w:rPr>
                <w:color w:val="000000"/>
                <w:sz w:val="20"/>
              </w:rPr>
              <w:t>/coercive control</w:t>
            </w:r>
            <w:r w:rsidRPr="00A86E1C">
              <w:rPr>
                <w:color w:val="000000"/>
                <w:sz w:val="20"/>
              </w:rPr>
              <w:t xml:space="preserve"> incidents, treated the </w:t>
            </w:r>
            <w:r>
              <w:rPr>
                <w:color w:val="000000"/>
                <w:sz w:val="20"/>
              </w:rPr>
              <w:t>coercive controll</w:t>
            </w:r>
            <w:r w:rsidRPr="00A86E1C">
              <w:rPr>
                <w:color w:val="000000"/>
                <w:sz w:val="20"/>
              </w:rPr>
              <w:t>er as a responsible and caring parent.</w:t>
            </w:r>
            <w:r w:rsidRPr="00A86E1C">
              <w:rPr>
                <w:rStyle w:val="EndnoteReference"/>
                <w:rFonts w:ascii="Times New Roman" w:hAnsi="Times New Roman"/>
                <w:sz w:val="20"/>
              </w:rPr>
              <w:endnoteReference w:id="25"/>
            </w:r>
          </w:p>
        </w:tc>
      </w:tr>
      <w:tr w:rsidR="006711CB" w:rsidRPr="00B21731" w14:paraId="77580498" w14:textId="77777777" w:rsidTr="002F22C9">
        <w:trPr>
          <w:trHeight w:val="810"/>
        </w:trPr>
        <w:tc>
          <w:tcPr>
            <w:tcW w:w="1908" w:type="dxa"/>
            <w:shd w:val="clear" w:color="auto" w:fill="auto"/>
            <w:noWrap/>
            <w:hideMark/>
          </w:tcPr>
          <w:p w14:paraId="147678B6"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auto"/>
            <w:hideMark/>
          </w:tcPr>
          <w:p w14:paraId="20019258" w14:textId="77777777" w:rsidR="006711CB" w:rsidRPr="00A86E1C" w:rsidRDefault="006711CB" w:rsidP="002F22C9">
            <w:pPr>
              <w:rPr>
                <w:sz w:val="20"/>
              </w:rPr>
            </w:pPr>
            <w:r w:rsidRPr="00A86E1C">
              <w:rPr>
                <w:color w:val="000000"/>
                <w:sz w:val="20"/>
              </w:rPr>
              <w:t xml:space="preserve">20. The judge </w:t>
            </w:r>
            <w:proofErr w:type="gramStart"/>
            <w:r w:rsidRPr="00A86E1C">
              <w:rPr>
                <w:color w:val="000000"/>
                <w:sz w:val="20"/>
              </w:rPr>
              <w:t>down-played</w:t>
            </w:r>
            <w:proofErr w:type="gramEnd"/>
            <w:r w:rsidRPr="00A86E1C">
              <w:rPr>
                <w:color w:val="000000"/>
                <w:sz w:val="20"/>
              </w:rPr>
              <w:t xml:space="preserve"> the coercive control in the relationship, or refused to consider the pattern of </w:t>
            </w:r>
            <w:r>
              <w:rPr>
                <w:color w:val="000000"/>
                <w:sz w:val="20"/>
              </w:rPr>
              <w:t>coercive control</w:t>
            </w:r>
            <w:r w:rsidRPr="00A86E1C">
              <w:rPr>
                <w:color w:val="000000"/>
                <w:sz w:val="20"/>
              </w:rPr>
              <w:t xml:space="preserve"> over time.</w:t>
            </w:r>
            <w:r w:rsidRPr="00A86E1C">
              <w:rPr>
                <w:rStyle w:val="EndnoteReference"/>
                <w:rFonts w:ascii="Times New Roman" w:hAnsi="Times New Roman"/>
                <w:color w:val="000000"/>
                <w:sz w:val="20"/>
              </w:rPr>
              <w:endnoteReference w:id="26"/>
            </w:r>
            <w:r w:rsidRPr="00A86E1C">
              <w:rPr>
                <w:color w:val="000000"/>
                <w:sz w:val="20"/>
                <w:vertAlign w:val="superscript"/>
              </w:rPr>
              <w:t>,</w:t>
            </w:r>
            <w:r w:rsidRPr="00A86E1C">
              <w:rPr>
                <w:rStyle w:val="EndnoteReference"/>
                <w:rFonts w:ascii="Times New Roman" w:hAnsi="Times New Roman"/>
                <w:color w:val="000000"/>
                <w:sz w:val="20"/>
              </w:rPr>
              <w:endnoteReference w:id="27"/>
            </w:r>
          </w:p>
        </w:tc>
      </w:tr>
      <w:tr w:rsidR="006711CB" w:rsidRPr="00B21731" w14:paraId="647B9D5A" w14:textId="77777777" w:rsidTr="002F22C9">
        <w:trPr>
          <w:trHeight w:val="966"/>
        </w:trPr>
        <w:tc>
          <w:tcPr>
            <w:tcW w:w="1908" w:type="dxa"/>
            <w:shd w:val="clear" w:color="auto" w:fill="D9D9D9"/>
            <w:noWrap/>
            <w:hideMark/>
          </w:tcPr>
          <w:p w14:paraId="06B53821"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D9D9D9"/>
            <w:hideMark/>
          </w:tcPr>
          <w:p w14:paraId="7136F5AB" w14:textId="77777777" w:rsidR="006711CB" w:rsidRPr="00A86E1C" w:rsidRDefault="006711CB" w:rsidP="002F22C9">
            <w:pPr>
              <w:rPr>
                <w:sz w:val="20"/>
              </w:rPr>
            </w:pPr>
            <w:r w:rsidRPr="00A86E1C">
              <w:rPr>
                <w:color w:val="000000"/>
                <w:sz w:val="20"/>
              </w:rPr>
              <w:t xml:space="preserve">21. The judge treated domestic violence charges against your </w:t>
            </w:r>
            <w:r>
              <w:rPr>
                <w:color w:val="000000"/>
                <w:sz w:val="20"/>
              </w:rPr>
              <w:t>coercive controll</w:t>
            </w:r>
            <w:r w:rsidRPr="00A86E1C">
              <w:rPr>
                <w:color w:val="000000"/>
                <w:sz w:val="20"/>
              </w:rPr>
              <w:t xml:space="preserve">er ex-partner and against you as equally real, even though your ex filed charges against you as an intimidation strategy after you separated. </w:t>
            </w:r>
            <w:r w:rsidRPr="00A86E1C">
              <w:rPr>
                <w:rStyle w:val="EndnoteReference"/>
                <w:rFonts w:ascii="Times New Roman" w:hAnsi="Times New Roman"/>
                <w:color w:val="000000"/>
                <w:sz w:val="20"/>
              </w:rPr>
              <w:endnoteReference w:id="28"/>
            </w:r>
            <w:r w:rsidRPr="00A86E1C">
              <w:rPr>
                <w:color w:val="000000"/>
                <w:sz w:val="20"/>
              </w:rPr>
              <w:t xml:space="preserve"> </w:t>
            </w:r>
          </w:p>
        </w:tc>
      </w:tr>
      <w:tr w:rsidR="006711CB" w:rsidRPr="00B21731" w14:paraId="6BC97367" w14:textId="77777777" w:rsidTr="002F22C9">
        <w:trPr>
          <w:trHeight w:val="810"/>
        </w:trPr>
        <w:tc>
          <w:tcPr>
            <w:tcW w:w="1908" w:type="dxa"/>
            <w:shd w:val="clear" w:color="auto" w:fill="auto"/>
            <w:noWrap/>
            <w:hideMark/>
          </w:tcPr>
          <w:p w14:paraId="755065D3"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auto"/>
            <w:hideMark/>
          </w:tcPr>
          <w:p w14:paraId="285F5194" w14:textId="77777777" w:rsidR="006711CB" w:rsidRPr="00A86E1C" w:rsidRDefault="006711CB" w:rsidP="002F22C9">
            <w:pPr>
              <w:rPr>
                <w:sz w:val="20"/>
              </w:rPr>
            </w:pPr>
            <w:r w:rsidRPr="00A86E1C">
              <w:rPr>
                <w:color w:val="000000"/>
                <w:sz w:val="20"/>
              </w:rPr>
              <w:t xml:space="preserve">22. The judge acted like he or she </w:t>
            </w:r>
            <w:r>
              <w:rPr>
                <w:color w:val="000000"/>
                <w:sz w:val="20"/>
              </w:rPr>
              <w:t>was unable to</w:t>
            </w:r>
            <w:r w:rsidRPr="00A86E1C">
              <w:rPr>
                <w:color w:val="000000"/>
                <w:sz w:val="20"/>
              </w:rPr>
              <w:t xml:space="preserve"> believe your financially stable, well-educated ex-partner could be a violent or </w:t>
            </w:r>
            <w:r>
              <w:rPr>
                <w:color w:val="000000"/>
                <w:sz w:val="20"/>
              </w:rPr>
              <w:t>coercive controlling</w:t>
            </w:r>
            <w:r w:rsidRPr="00A86E1C">
              <w:rPr>
                <w:color w:val="000000"/>
                <w:sz w:val="20"/>
              </w:rPr>
              <w:t xml:space="preserve"> man.</w:t>
            </w:r>
            <w:r w:rsidRPr="00A86E1C">
              <w:rPr>
                <w:rStyle w:val="EndnoteReference"/>
                <w:rFonts w:ascii="Times New Roman" w:hAnsi="Times New Roman"/>
                <w:color w:val="000000"/>
                <w:sz w:val="20"/>
              </w:rPr>
              <w:endnoteReference w:id="29"/>
            </w:r>
          </w:p>
        </w:tc>
      </w:tr>
      <w:tr w:rsidR="006711CB" w:rsidRPr="00B21731" w14:paraId="7F37571F" w14:textId="77777777" w:rsidTr="002F22C9">
        <w:trPr>
          <w:trHeight w:val="810"/>
        </w:trPr>
        <w:tc>
          <w:tcPr>
            <w:tcW w:w="1908" w:type="dxa"/>
            <w:shd w:val="clear" w:color="auto" w:fill="D9D9D9"/>
            <w:noWrap/>
            <w:hideMark/>
          </w:tcPr>
          <w:p w14:paraId="2A5D320D" w14:textId="77777777" w:rsidR="006711CB" w:rsidRPr="00A86E1C" w:rsidRDefault="006711CB" w:rsidP="002F22C9">
            <w:pPr>
              <w:rPr>
                <w:b/>
                <w:bCs/>
                <w:color w:val="000000"/>
                <w:sz w:val="20"/>
              </w:rPr>
            </w:pPr>
            <w:r w:rsidRPr="00A86E1C">
              <w:rPr>
                <w:b/>
                <w:bCs/>
                <w:color w:val="000000"/>
                <w:sz w:val="20"/>
              </w:rPr>
              <w:lastRenderedPageBreak/>
              <w:t>1 2 3 4 5 6 7</w:t>
            </w:r>
          </w:p>
        </w:tc>
        <w:tc>
          <w:tcPr>
            <w:tcW w:w="5134" w:type="dxa"/>
            <w:shd w:val="clear" w:color="auto" w:fill="D9D9D9"/>
            <w:hideMark/>
          </w:tcPr>
          <w:p w14:paraId="5455EB79" w14:textId="77777777" w:rsidR="006711CB" w:rsidRPr="00A86E1C" w:rsidRDefault="006711CB" w:rsidP="002F22C9">
            <w:pPr>
              <w:rPr>
                <w:sz w:val="20"/>
              </w:rPr>
            </w:pPr>
            <w:r w:rsidRPr="00A86E1C">
              <w:rPr>
                <w:color w:val="000000"/>
                <w:sz w:val="20"/>
              </w:rPr>
              <w:t xml:space="preserve">23. The judge believed your social or career problems were your fault, instead of the result of coercive control.  For example, the judge </w:t>
            </w:r>
            <w:r>
              <w:rPr>
                <w:color w:val="000000"/>
                <w:sz w:val="20"/>
              </w:rPr>
              <w:t>failed to</w:t>
            </w:r>
            <w:r w:rsidRPr="00A86E1C">
              <w:rPr>
                <w:color w:val="000000"/>
                <w:sz w:val="20"/>
              </w:rPr>
              <w:t xml:space="preserve"> understand that your</w:t>
            </w:r>
            <w:r>
              <w:rPr>
                <w:color w:val="000000"/>
                <w:sz w:val="20"/>
              </w:rPr>
              <w:t xml:space="preserve"> coercive controlling</w:t>
            </w:r>
            <w:r w:rsidRPr="00A86E1C">
              <w:rPr>
                <w:color w:val="000000"/>
                <w:sz w:val="20"/>
              </w:rPr>
              <w:t xml:space="preserve"> spouse isolated you from your family and friends; </w:t>
            </w:r>
            <w:r>
              <w:rPr>
                <w:color w:val="000000"/>
                <w:sz w:val="20"/>
              </w:rPr>
              <w:t xml:space="preserve">failed </w:t>
            </w:r>
            <w:r w:rsidRPr="00A86E1C">
              <w:rPr>
                <w:color w:val="000000"/>
                <w:sz w:val="20"/>
              </w:rPr>
              <w:t>t</w:t>
            </w:r>
            <w:r>
              <w:rPr>
                <w:color w:val="000000"/>
                <w:sz w:val="20"/>
              </w:rPr>
              <w:t>o</w:t>
            </w:r>
            <w:r w:rsidRPr="00A86E1C">
              <w:rPr>
                <w:color w:val="000000"/>
                <w:sz w:val="20"/>
              </w:rPr>
              <w:t xml:space="preserve"> understand that your </w:t>
            </w:r>
            <w:r>
              <w:rPr>
                <w:color w:val="000000"/>
                <w:sz w:val="20"/>
              </w:rPr>
              <w:t>coercive controlling</w:t>
            </w:r>
            <w:r w:rsidRPr="00A86E1C">
              <w:rPr>
                <w:color w:val="000000"/>
                <w:sz w:val="20"/>
              </w:rPr>
              <w:t xml:space="preserve"> partner prevented you from working outside the home.</w:t>
            </w:r>
            <w:r w:rsidRPr="00A86E1C">
              <w:rPr>
                <w:rStyle w:val="EndnoteReference"/>
                <w:rFonts w:ascii="Times New Roman" w:hAnsi="Times New Roman"/>
                <w:color w:val="000000"/>
                <w:sz w:val="20"/>
              </w:rPr>
              <w:endnoteReference w:id="30"/>
            </w:r>
          </w:p>
        </w:tc>
      </w:tr>
      <w:tr w:rsidR="006711CB" w:rsidRPr="00B21731" w14:paraId="55BCE785" w14:textId="77777777" w:rsidTr="002F22C9">
        <w:trPr>
          <w:trHeight w:val="810"/>
        </w:trPr>
        <w:tc>
          <w:tcPr>
            <w:tcW w:w="1908" w:type="dxa"/>
            <w:shd w:val="clear" w:color="auto" w:fill="auto"/>
            <w:noWrap/>
            <w:hideMark/>
          </w:tcPr>
          <w:p w14:paraId="09163C1F"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auto"/>
            <w:hideMark/>
          </w:tcPr>
          <w:p w14:paraId="350D2E7B" w14:textId="77777777" w:rsidR="006711CB" w:rsidRPr="00A86E1C" w:rsidRDefault="006711CB" w:rsidP="002F22C9">
            <w:pPr>
              <w:rPr>
                <w:sz w:val="20"/>
              </w:rPr>
            </w:pPr>
            <w:r w:rsidRPr="00A86E1C">
              <w:rPr>
                <w:color w:val="000000"/>
                <w:sz w:val="20"/>
              </w:rPr>
              <w:t>24. The judge counted only documented incidents of domestic violence, required evidence of several domestic violence incidents, counted only recent incidents, or required a higher standard of proof.</w:t>
            </w:r>
            <w:r w:rsidRPr="00A86E1C">
              <w:rPr>
                <w:rStyle w:val="EndnoteReference"/>
                <w:rFonts w:ascii="Times New Roman" w:hAnsi="Times New Roman"/>
                <w:color w:val="000000"/>
                <w:sz w:val="20"/>
              </w:rPr>
              <w:endnoteReference w:id="31"/>
            </w:r>
            <w:r w:rsidRPr="00A86E1C">
              <w:rPr>
                <w:color w:val="000000"/>
                <w:sz w:val="20"/>
                <w:vertAlign w:val="superscript"/>
              </w:rPr>
              <w:t xml:space="preserve"> </w:t>
            </w:r>
          </w:p>
        </w:tc>
      </w:tr>
      <w:tr w:rsidR="006711CB" w:rsidRPr="00B21731" w14:paraId="45A4B5F8" w14:textId="77777777" w:rsidTr="002F22C9">
        <w:trPr>
          <w:trHeight w:val="471"/>
        </w:trPr>
        <w:tc>
          <w:tcPr>
            <w:tcW w:w="1908" w:type="dxa"/>
            <w:shd w:val="clear" w:color="auto" w:fill="D9D9D9"/>
            <w:noWrap/>
            <w:hideMark/>
          </w:tcPr>
          <w:p w14:paraId="4B0AB40E"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D9D9D9"/>
            <w:hideMark/>
          </w:tcPr>
          <w:p w14:paraId="74AA55A6" w14:textId="77777777" w:rsidR="006711CB" w:rsidRPr="00A86E1C" w:rsidRDefault="006711CB" w:rsidP="002F22C9">
            <w:pPr>
              <w:rPr>
                <w:sz w:val="20"/>
              </w:rPr>
            </w:pPr>
            <w:r w:rsidRPr="00A86E1C">
              <w:rPr>
                <w:color w:val="000000"/>
                <w:sz w:val="20"/>
              </w:rPr>
              <w:t>25. The judge held you, the mother, to a higher level of care for the children than the father.</w:t>
            </w:r>
            <w:r w:rsidRPr="00A86E1C">
              <w:rPr>
                <w:rStyle w:val="EndnoteReference"/>
                <w:rFonts w:ascii="Times New Roman" w:hAnsi="Times New Roman"/>
                <w:sz w:val="20"/>
              </w:rPr>
              <w:endnoteReference w:id="32"/>
            </w:r>
          </w:p>
        </w:tc>
      </w:tr>
      <w:tr w:rsidR="006711CB" w:rsidRPr="00B21731" w14:paraId="7216BDCD" w14:textId="77777777" w:rsidTr="002F22C9">
        <w:trPr>
          <w:trHeight w:val="746"/>
        </w:trPr>
        <w:tc>
          <w:tcPr>
            <w:tcW w:w="1908" w:type="dxa"/>
            <w:shd w:val="clear" w:color="auto" w:fill="auto"/>
            <w:noWrap/>
            <w:hideMark/>
          </w:tcPr>
          <w:p w14:paraId="5AE5BDE3"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auto"/>
            <w:hideMark/>
          </w:tcPr>
          <w:p w14:paraId="3AB2A2A7" w14:textId="77777777" w:rsidR="006711CB" w:rsidRPr="00A86E1C" w:rsidRDefault="006711CB" w:rsidP="002F22C9">
            <w:pPr>
              <w:rPr>
                <w:sz w:val="20"/>
              </w:rPr>
            </w:pPr>
            <w:r w:rsidRPr="00A86E1C">
              <w:rPr>
                <w:color w:val="000000"/>
                <w:sz w:val="20"/>
              </w:rPr>
              <w:t>26. The judge expects you, the mother, to have a job and support your children even if their capable father is unemployed by choice.</w:t>
            </w:r>
            <w:r w:rsidRPr="00A86E1C">
              <w:rPr>
                <w:rStyle w:val="EndnoteReference"/>
                <w:rFonts w:ascii="Times New Roman" w:hAnsi="Times New Roman"/>
                <w:sz w:val="20"/>
              </w:rPr>
              <w:endnoteReference w:id="33"/>
            </w:r>
          </w:p>
        </w:tc>
      </w:tr>
      <w:tr w:rsidR="006711CB" w:rsidRPr="00B21731" w14:paraId="349DF8E1" w14:textId="77777777" w:rsidTr="002F22C9">
        <w:trPr>
          <w:trHeight w:val="467"/>
        </w:trPr>
        <w:tc>
          <w:tcPr>
            <w:tcW w:w="1908" w:type="dxa"/>
            <w:shd w:val="clear" w:color="auto" w:fill="D9D9D9"/>
            <w:noWrap/>
            <w:hideMark/>
          </w:tcPr>
          <w:p w14:paraId="6D7C5935"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D9D9D9"/>
            <w:hideMark/>
          </w:tcPr>
          <w:p w14:paraId="56772A48" w14:textId="77777777" w:rsidR="006711CB" w:rsidRPr="00A86E1C" w:rsidRDefault="006711CB" w:rsidP="002F22C9">
            <w:pPr>
              <w:rPr>
                <w:sz w:val="20"/>
              </w:rPr>
            </w:pPr>
            <w:r w:rsidRPr="00A86E1C">
              <w:rPr>
                <w:color w:val="000000"/>
                <w:sz w:val="20"/>
              </w:rPr>
              <w:t>27. The judge cut off your testimony before you had placed all facts in evidence.</w:t>
            </w:r>
            <w:r w:rsidRPr="00A86E1C">
              <w:rPr>
                <w:rStyle w:val="EndnoteReference"/>
                <w:rFonts w:ascii="Times New Roman" w:hAnsi="Times New Roman"/>
                <w:sz w:val="20"/>
              </w:rPr>
              <w:endnoteReference w:id="34"/>
            </w:r>
          </w:p>
        </w:tc>
      </w:tr>
      <w:tr w:rsidR="006711CB" w:rsidRPr="00B21731" w14:paraId="7D3DE4AD" w14:textId="77777777" w:rsidTr="002F22C9">
        <w:trPr>
          <w:trHeight w:val="471"/>
        </w:trPr>
        <w:tc>
          <w:tcPr>
            <w:tcW w:w="1908" w:type="dxa"/>
            <w:shd w:val="clear" w:color="auto" w:fill="auto"/>
            <w:noWrap/>
            <w:hideMark/>
          </w:tcPr>
          <w:p w14:paraId="2B6198B8"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auto"/>
            <w:hideMark/>
          </w:tcPr>
          <w:p w14:paraId="5A2CA189" w14:textId="77777777" w:rsidR="006711CB" w:rsidRPr="00A86E1C" w:rsidRDefault="006711CB" w:rsidP="002F22C9">
            <w:pPr>
              <w:rPr>
                <w:sz w:val="20"/>
              </w:rPr>
            </w:pPr>
            <w:r w:rsidRPr="00A86E1C">
              <w:rPr>
                <w:color w:val="000000"/>
                <w:sz w:val="20"/>
              </w:rPr>
              <w:t>28. The judge allowed your ex to complete his testimony uninterrupted.</w:t>
            </w:r>
            <w:r w:rsidRPr="00A86E1C">
              <w:rPr>
                <w:rStyle w:val="EndnoteReference"/>
                <w:rFonts w:ascii="Times New Roman" w:hAnsi="Times New Roman"/>
                <w:sz w:val="20"/>
              </w:rPr>
              <w:endnoteReference w:id="35"/>
            </w:r>
          </w:p>
        </w:tc>
      </w:tr>
      <w:tr w:rsidR="006711CB" w:rsidRPr="00B21731" w14:paraId="7408B4F0" w14:textId="77777777" w:rsidTr="002F22C9">
        <w:trPr>
          <w:trHeight w:val="755"/>
        </w:trPr>
        <w:tc>
          <w:tcPr>
            <w:tcW w:w="1908" w:type="dxa"/>
            <w:shd w:val="clear" w:color="auto" w:fill="D9D9D9"/>
            <w:noWrap/>
            <w:hideMark/>
          </w:tcPr>
          <w:p w14:paraId="4A7AADDE"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D9D9D9"/>
            <w:hideMark/>
          </w:tcPr>
          <w:p w14:paraId="5F6D0293" w14:textId="77777777" w:rsidR="006711CB" w:rsidRPr="00A86E1C" w:rsidRDefault="006711CB" w:rsidP="002F22C9">
            <w:pPr>
              <w:rPr>
                <w:sz w:val="20"/>
              </w:rPr>
            </w:pPr>
            <w:r w:rsidRPr="00A86E1C">
              <w:rPr>
                <w:color w:val="000000"/>
                <w:sz w:val="20"/>
              </w:rPr>
              <w:t xml:space="preserve">29. The judge </w:t>
            </w:r>
            <w:r>
              <w:rPr>
                <w:color w:val="000000"/>
                <w:sz w:val="20"/>
              </w:rPr>
              <w:t>failed to</w:t>
            </w:r>
            <w:r w:rsidRPr="00A86E1C">
              <w:rPr>
                <w:color w:val="000000"/>
                <w:sz w:val="20"/>
              </w:rPr>
              <w:t xml:space="preserve"> follow due process requirements by making an audio, video, or written record of all court proceedings.</w:t>
            </w:r>
            <w:r w:rsidRPr="00A86E1C">
              <w:rPr>
                <w:rStyle w:val="EndnoteReference"/>
                <w:rFonts w:ascii="Times New Roman" w:hAnsi="Times New Roman"/>
                <w:sz w:val="20"/>
              </w:rPr>
              <w:endnoteReference w:id="36"/>
            </w:r>
          </w:p>
        </w:tc>
      </w:tr>
      <w:tr w:rsidR="006711CB" w:rsidRPr="00B21731" w14:paraId="1AFD093C" w14:textId="77777777" w:rsidTr="002F22C9">
        <w:trPr>
          <w:trHeight w:val="530"/>
        </w:trPr>
        <w:tc>
          <w:tcPr>
            <w:tcW w:w="1908" w:type="dxa"/>
            <w:shd w:val="clear" w:color="auto" w:fill="auto"/>
            <w:noWrap/>
            <w:hideMark/>
          </w:tcPr>
          <w:p w14:paraId="0D125ED7"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auto"/>
            <w:hideMark/>
          </w:tcPr>
          <w:p w14:paraId="14CD1721" w14:textId="77777777" w:rsidR="006711CB" w:rsidRPr="00A86E1C" w:rsidRDefault="006711CB" w:rsidP="002F22C9">
            <w:pPr>
              <w:rPr>
                <w:sz w:val="20"/>
              </w:rPr>
            </w:pPr>
            <w:r w:rsidRPr="00A86E1C">
              <w:rPr>
                <w:color w:val="000000"/>
                <w:sz w:val="20"/>
              </w:rPr>
              <w:t>30. The judge placed gag orders on you to keep you from raising allegations of abuse/neglect or judicial misconduct.</w:t>
            </w:r>
            <w:r w:rsidRPr="00A86E1C">
              <w:rPr>
                <w:rStyle w:val="EndnoteReference"/>
                <w:rFonts w:ascii="Times New Roman" w:hAnsi="Times New Roman"/>
                <w:sz w:val="20"/>
              </w:rPr>
              <w:endnoteReference w:id="37"/>
            </w:r>
          </w:p>
        </w:tc>
      </w:tr>
      <w:tr w:rsidR="006711CB" w:rsidRPr="00B21731" w14:paraId="7D70DDCB" w14:textId="77777777" w:rsidTr="002F22C9">
        <w:trPr>
          <w:trHeight w:val="588"/>
        </w:trPr>
        <w:tc>
          <w:tcPr>
            <w:tcW w:w="1908" w:type="dxa"/>
            <w:shd w:val="clear" w:color="auto" w:fill="D9D9D9"/>
            <w:noWrap/>
            <w:hideMark/>
          </w:tcPr>
          <w:p w14:paraId="7857F7C5"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D9D9D9"/>
            <w:hideMark/>
          </w:tcPr>
          <w:p w14:paraId="61C92A83" w14:textId="77777777" w:rsidR="006711CB" w:rsidRPr="00A86E1C" w:rsidRDefault="006711CB" w:rsidP="002F22C9">
            <w:pPr>
              <w:rPr>
                <w:sz w:val="20"/>
              </w:rPr>
            </w:pPr>
            <w:r w:rsidRPr="00A86E1C">
              <w:rPr>
                <w:color w:val="000000"/>
                <w:sz w:val="20"/>
              </w:rPr>
              <w:t xml:space="preserve">31. The judge </w:t>
            </w:r>
            <w:r>
              <w:rPr>
                <w:color w:val="000000"/>
                <w:sz w:val="20"/>
              </w:rPr>
              <w:t xml:space="preserve">failed to </w:t>
            </w:r>
            <w:r w:rsidRPr="00A86E1C">
              <w:rPr>
                <w:color w:val="000000"/>
                <w:sz w:val="20"/>
              </w:rPr>
              <w:t xml:space="preserve">understand that </w:t>
            </w:r>
            <w:proofErr w:type="gramStart"/>
            <w:r w:rsidRPr="00A86E1C">
              <w:rPr>
                <w:color w:val="000000"/>
                <w:sz w:val="20"/>
                <w:u w:val="single"/>
              </w:rPr>
              <w:t>your</w:t>
            </w:r>
            <w:proofErr w:type="gramEnd"/>
            <w:r w:rsidRPr="00A86E1C">
              <w:rPr>
                <w:color w:val="000000"/>
                <w:sz w:val="20"/>
                <w:u w:val="single"/>
              </w:rPr>
              <w:t xml:space="preserve"> thinking and memory problems</w:t>
            </w:r>
            <w:r w:rsidRPr="00A86E1C">
              <w:rPr>
                <w:color w:val="000000"/>
                <w:sz w:val="20"/>
              </w:rPr>
              <w:t xml:space="preserve"> when being questioned may be the result of being a </w:t>
            </w:r>
            <w:r>
              <w:rPr>
                <w:color w:val="000000"/>
                <w:sz w:val="20"/>
              </w:rPr>
              <w:t>coercive controll</w:t>
            </w:r>
            <w:r w:rsidRPr="00A86E1C">
              <w:rPr>
                <w:color w:val="000000"/>
                <w:sz w:val="20"/>
              </w:rPr>
              <w:t>e</w:t>
            </w:r>
            <w:r>
              <w:rPr>
                <w:color w:val="000000"/>
                <w:sz w:val="20"/>
              </w:rPr>
              <w:t>d</w:t>
            </w:r>
            <w:r w:rsidRPr="00A86E1C">
              <w:rPr>
                <w:color w:val="000000"/>
                <w:sz w:val="20"/>
              </w:rPr>
              <w:t xml:space="preserve"> spouse. For example, your inability to remember important details or events were instead judged to be indicators of immaturity or lying instead of a result of stress, trauma, or coercive control.</w:t>
            </w:r>
            <w:r w:rsidRPr="00A86E1C">
              <w:rPr>
                <w:rStyle w:val="EndnoteReference"/>
                <w:rFonts w:ascii="Times New Roman" w:hAnsi="Times New Roman"/>
                <w:sz w:val="20"/>
              </w:rPr>
              <w:endnoteReference w:id="38"/>
            </w:r>
          </w:p>
        </w:tc>
      </w:tr>
      <w:tr w:rsidR="006711CB" w:rsidRPr="00B21731" w14:paraId="37D5F629" w14:textId="77777777" w:rsidTr="002F22C9">
        <w:trPr>
          <w:trHeight w:val="810"/>
        </w:trPr>
        <w:tc>
          <w:tcPr>
            <w:tcW w:w="1908" w:type="dxa"/>
            <w:shd w:val="clear" w:color="auto" w:fill="auto"/>
            <w:noWrap/>
            <w:hideMark/>
          </w:tcPr>
          <w:p w14:paraId="6DF9BEC3"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auto"/>
            <w:hideMark/>
          </w:tcPr>
          <w:p w14:paraId="21182F29" w14:textId="77777777" w:rsidR="006711CB" w:rsidRPr="00A86E1C" w:rsidRDefault="006711CB" w:rsidP="002F22C9">
            <w:pPr>
              <w:rPr>
                <w:sz w:val="20"/>
              </w:rPr>
            </w:pPr>
            <w:r w:rsidRPr="00A86E1C">
              <w:rPr>
                <w:color w:val="000000"/>
                <w:sz w:val="20"/>
              </w:rPr>
              <w:t xml:space="preserve">32. The judge </w:t>
            </w:r>
            <w:r>
              <w:rPr>
                <w:color w:val="000000"/>
                <w:sz w:val="20"/>
              </w:rPr>
              <w:t>failed to</w:t>
            </w:r>
            <w:r w:rsidRPr="00A86E1C">
              <w:rPr>
                <w:color w:val="000000"/>
                <w:sz w:val="20"/>
              </w:rPr>
              <w:t xml:space="preserve"> understand that your avoidance, emotional numbing, and distraction are the result of being a </w:t>
            </w:r>
            <w:r>
              <w:rPr>
                <w:color w:val="000000"/>
                <w:sz w:val="20"/>
              </w:rPr>
              <w:t>coercive controll</w:t>
            </w:r>
            <w:r w:rsidRPr="00A86E1C">
              <w:rPr>
                <w:color w:val="000000"/>
                <w:sz w:val="20"/>
              </w:rPr>
              <w:t>ed spouse.  For example, your unusual responses in court regarding coercive</w:t>
            </w:r>
            <w:r>
              <w:rPr>
                <w:color w:val="000000"/>
                <w:sz w:val="20"/>
              </w:rPr>
              <w:t xml:space="preserve"> control</w:t>
            </w:r>
            <w:r w:rsidRPr="00A86E1C">
              <w:rPr>
                <w:color w:val="000000"/>
                <w:sz w:val="20"/>
              </w:rPr>
              <w:t xml:space="preserve"> were thought to be indicators of </w:t>
            </w:r>
            <w:r>
              <w:rPr>
                <w:color w:val="000000"/>
                <w:sz w:val="20"/>
              </w:rPr>
              <w:t>failure to</w:t>
            </w:r>
            <w:r w:rsidRPr="00A86E1C">
              <w:rPr>
                <w:color w:val="000000"/>
                <w:sz w:val="20"/>
              </w:rPr>
              <w:t xml:space="preserve"> </w:t>
            </w:r>
            <w:proofErr w:type="gramStart"/>
            <w:r w:rsidRPr="00A86E1C">
              <w:rPr>
                <w:color w:val="000000"/>
                <w:sz w:val="20"/>
              </w:rPr>
              <w:t>car</w:t>
            </w:r>
            <w:r>
              <w:rPr>
                <w:color w:val="000000"/>
                <w:sz w:val="20"/>
              </w:rPr>
              <w:t>e</w:t>
            </w:r>
            <w:proofErr w:type="gramEnd"/>
            <w:r w:rsidRPr="00A86E1C">
              <w:rPr>
                <w:color w:val="000000"/>
                <w:sz w:val="20"/>
              </w:rPr>
              <w:t xml:space="preserve"> or lying instead of a result of stress, trauma, or coercive control.</w:t>
            </w:r>
            <w:r w:rsidRPr="00A86E1C">
              <w:rPr>
                <w:rStyle w:val="EndnoteReference"/>
                <w:rFonts w:ascii="Times New Roman" w:hAnsi="Times New Roman"/>
                <w:sz w:val="20"/>
              </w:rPr>
              <w:endnoteReference w:id="39"/>
            </w:r>
            <w:r w:rsidRPr="00A86E1C">
              <w:rPr>
                <w:color w:val="000000"/>
                <w:sz w:val="20"/>
                <w:vertAlign w:val="superscript"/>
              </w:rPr>
              <w:t>,</w:t>
            </w:r>
            <w:r w:rsidRPr="00A86E1C">
              <w:rPr>
                <w:rStyle w:val="EndnoteReference"/>
                <w:rFonts w:ascii="Times New Roman" w:hAnsi="Times New Roman"/>
                <w:color w:val="000000"/>
                <w:sz w:val="20"/>
              </w:rPr>
              <w:endnoteReference w:id="40"/>
            </w:r>
          </w:p>
        </w:tc>
      </w:tr>
      <w:tr w:rsidR="006711CB" w:rsidRPr="00B21731" w14:paraId="5B7729A7" w14:textId="77777777" w:rsidTr="002F22C9">
        <w:trPr>
          <w:trHeight w:val="810"/>
        </w:trPr>
        <w:tc>
          <w:tcPr>
            <w:tcW w:w="1908" w:type="dxa"/>
            <w:shd w:val="clear" w:color="auto" w:fill="D9D9D9"/>
            <w:noWrap/>
            <w:hideMark/>
          </w:tcPr>
          <w:p w14:paraId="26515A90" w14:textId="77777777" w:rsidR="006711CB" w:rsidRPr="00A86E1C" w:rsidRDefault="006711CB" w:rsidP="002F22C9">
            <w:pPr>
              <w:rPr>
                <w:b/>
                <w:bCs/>
                <w:color w:val="000000"/>
                <w:sz w:val="20"/>
              </w:rPr>
            </w:pPr>
            <w:r w:rsidRPr="00A86E1C">
              <w:rPr>
                <w:b/>
                <w:bCs/>
                <w:color w:val="000000"/>
                <w:sz w:val="20"/>
              </w:rPr>
              <w:t>1 2 3 4 5 6 7</w:t>
            </w:r>
          </w:p>
        </w:tc>
        <w:tc>
          <w:tcPr>
            <w:tcW w:w="5134" w:type="dxa"/>
            <w:shd w:val="clear" w:color="auto" w:fill="D9D9D9"/>
            <w:hideMark/>
          </w:tcPr>
          <w:p w14:paraId="1A0C0DB9" w14:textId="77777777" w:rsidR="006711CB" w:rsidRPr="00A86E1C" w:rsidRDefault="006711CB" w:rsidP="002F22C9">
            <w:pPr>
              <w:rPr>
                <w:sz w:val="20"/>
              </w:rPr>
            </w:pPr>
            <w:r w:rsidRPr="00A86E1C">
              <w:rPr>
                <w:color w:val="000000"/>
                <w:sz w:val="20"/>
              </w:rPr>
              <w:t xml:space="preserve">33. The judge </w:t>
            </w:r>
            <w:r>
              <w:rPr>
                <w:color w:val="000000"/>
                <w:sz w:val="20"/>
              </w:rPr>
              <w:t>failed to</w:t>
            </w:r>
            <w:r w:rsidRPr="00A86E1C">
              <w:rPr>
                <w:color w:val="000000"/>
                <w:sz w:val="20"/>
              </w:rPr>
              <w:t xml:space="preserve"> understand that your anxiety and nervousness</w:t>
            </w:r>
            <w:r w:rsidRPr="00A86E1C">
              <w:rPr>
                <w:color w:val="000000"/>
                <w:sz w:val="20"/>
                <w:u w:val="single"/>
              </w:rPr>
              <w:t xml:space="preserve"> </w:t>
            </w:r>
            <w:r w:rsidRPr="00A86E1C">
              <w:rPr>
                <w:color w:val="000000"/>
                <w:sz w:val="20"/>
              </w:rPr>
              <w:t xml:space="preserve">in court may be the result of being a </w:t>
            </w:r>
            <w:r>
              <w:rPr>
                <w:color w:val="000000"/>
                <w:sz w:val="20"/>
              </w:rPr>
              <w:t>coercive controll</w:t>
            </w:r>
            <w:r w:rsidRPr="00A86E1C">
              <w:rPr>
                <w:color w:val="000000"/>
                <w:sz w:val="20"/>
              </w:rPr>
              <w:t xml:space="preserve">ed spouse.  For example, your fearfulness, irritability, crying, and </w:t>
            </w:r>
            <w:r w:rsidRPr="00A86E1C">
              <w:rPr>
                <w:color w:val="000000"/>
                <w:sz w:val="20"/>
              </w:rPr>
              <w:lastRenderedPageBreak/>
              <w:t>inability to focus were instead judged to be indicators of immaturity, or mental instability instead of a result of stress, trauma, or coercive control.</w:t>
            </w:r>
            <w:r w:rsidRPr="00A86E1C">
              <w:rPr>
                <w:rStyle w:val="EndnoteReference"/>
                <w:rFonts w:ascii="Times New Roman" w:hAnsi="Times New Roman"/>
                <w:sz w:val="20"/>
              </w:rPr>
              <w:endnoteReference w:id="41"/>
            </w:r>
          </w:p>
        </w:tc>
      </w:tr>
    </w:tbl>
    <w:p w14:paraId="69930BEF" w14:textId="77777777" w:rsidR="007D0138" w:rsidRDefault="007D0138"/>
    <w:sectPr w:rsidR="007D01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82D42" w14:textId="77777777" w:rsidR="00474886" w:rsidRDefault="00474886" w:rsidP="006711CB">
      <w:r>
        <w:separator/>
      </w:r>
    </w:p>
  </w:endnote>
  <w:endnote w:type="continuationSeparator" w:id="0">
    <w:p w14:paraId="2F148400" w14:textId="77777777" w:rsidR="00474886" w:rsidRDefault="00474886" w:rsidP="006711CB">
      <w:r>
        <w:continuationSeparator/>
      </w:r>
    </w:p>
  </w:endnote>
  <w:endnote w:id="1">
    <w:p w14:paraId="0585D565" w14:textId="77777777" w:rsidR="006711CB" w:rsidRDefault="006711CB" w:rsidP="006711CB">
      <w:pPr>
        <w:pStyle w:val="EndnoteText"/>
      </w:pPr>
      <w:r>
        <w:rPr>
          <w:rStyle w:val="EndnoteReference"/>
        </w:rPr>
        <w:endnoteRef/>
      </w:r>
      <w:r>
        <w:t xml:space="preserve"> </w:t>
      </w:r>
      <w:r>
        <w:rPr>
          <w:rFonts w:cs="Calibri"/>
          <w:color w:val="222222"/>
          <w:sz w:val="22"/>
          <w:szCs w:val="22"/>
          <w:shd w:val="clear" w:color="auto" w:fill="FFFFFF"/>
        </w:rPr>
        <w:t xml:space="preserve">Chesler, Phyllis, (2011). Mothers on Trial: </w:t>
      </w:r>
      <w:r>
        <w:rPr>
          <w:rFonts w:cs="Calibri"/>
          <w:color w:val="0F1111"/>
          <w:sz w:val="22"/>
          <w:szCs w:val="22"/>
          <w:shd w:val="clear" w:color="auto" w:fill="FFFFFF"/>
        </w:rPr>
        <w:t>The Battle for Children and Custody.</w:t>
      </w:r>
    </w:p>
    <w:p w14:paraId="7A58427A" w14:textId="77777777" w:rsidR="006711CB" w:rsidRDefault="006711CB" w:rsidP="006711CB">
      <w:pPr>
        <w:pStyle w:val="EndnoteText"/>
      </w:pPr>
    </w:p>
  </w:endnote>
  <w:endnote w:id="2">
    <w:p w14:paraId="26FB4AC4" w14:textId="77777777" w:rsidR="006711CB" w:rsidRPr="00560E94" w:rsidRDefault="006711CB" w:rsidP="006711CB">
      <w:pPr>
        <w:pStyle w:val="NormalWeb"/>
        <w:shd w:val="clear" w:color="auto" w:fill="FFFFFF"/>
        <w:spacing w:after="0"/>
        <w:textAlignment w:val="baseline"/>
        <w:rPr>
          <w:rFonts w:cs="Arial"/>
          <w:color w:val="222222"/>
        </w:rPr>
      </w:pPr>
      <w:r>
        <w:rPr>
          <w:rStyle w:val="EndnoteReference"/>
        </w:rPr>
        <w:endnoteRef/>
      </w:r>
      <w:r>
        <w:t xml:space="preserve"> </w:t>
      </w:r>
      <w:r w:rsidRPr="00560E94">
        <w:rPr>
          <w:rFonts w:cs="Arial"/>
          <w:color w:val="222222"/>
          <w:shd w:val="clear" w:color="auto" w:fill="FFFFFF"/>
        </w:rPr>
        <w:t xml:space="preserve">Hardesty, J. L., &amp; Ganong, L. H. (2006). How women make custody decisions and manage co-parenting with abusive former husbands. </w:t>
      </w:r>
      <w:r w:rsidRPr="00560E94">
        <w:rPr>
          <w:rFonts w:cs="Arial"/>
          <w:i/>
          <w:iCs/>
          <w:color w:val="222222"/>
          <w:shd w:val="clear" w:color="auto" w:fill="FFFFFF"/>
        </w:rPr>
        <w:t>Journal of social and personal relationships</w:t>
      </w:r>
      <w:r w:rsidRPr="00560E94">
        <w:rPr>
          <w:rFonts w:cs="Arial"/>
          <w:color w:val="222222"/>
          <w:shd w:val="clear" w:color="auto" w:fill="FFFFFF"/>
        </w:rPr>
        <w:t xml:space="preserve">, </w:t>
      </w:r>
      <w:r w:rsidRPr="00560E94">
        <w:rPr>
          <w:rFonts w:cs="Arial"/>
          <w:i/>
          <w:iCs/>
          <w:color w:val="222222"/>
          <w:shd w:val="clear" w:color="auto" w:fill="FFFFFF"/>
        </w:rPr>
        <w:t>23</w:t>
      </w:r>
      <w:r w:rsidRPr="00560E94">
        <w:rPr>
          <w:rFonts w:cs="Arial"/>
          <w:color w:val="222222"/>
          <w:shd w:val="clear" w:color="auto" w:fill="FFFFFF"/>
        </w:rPr>
        <w:t>(4), 543-563.</w:t>
      </w:r>
    </w:p>
    <w:p w14:paraId="11701234" w14:textId="77777777" w:rsidR="006711CB" w:rsidRDefault="006711CB" w:rsidP="006711CB">
      <w:pPr>
        <w:pStyle w:val="EndnoteText"/>
      </w:pPr>
    </w:p>
  </w:endnote>
  <w:endnote w:id="3">
    <w:p w14:paraId="137715EE" w14:textId="77777777" w:rsidR="006711CB" w:rsidRPr="008E2512" w:rsidRDefault="006711CB" w:rsidP="006711CB">
      <w:pPr>
        <w:pStyle w:val="NormalWeb"/>
        <w:spacing w:after="0"/>
        <w:textAlignment w:val="baseline"/>
        <w:rPr>
          <w:rFonts w:ascii="Helvetica Neue" w:hAnsi="Helvetica Neue"/>
          <w:color w:val="222222"/>
          <w:sz w:val="22"/>
          <w:szCs w:val="22"/>
        </w:rPr>
      </w:pPr>
      <w:r>
        <w:rPr>
          <w:rStyle w:val="EndnoteReference"/>
        </w:rPr>
        <w:endnoteRef/>
      </w:r>
      <w:r>
        <w:t xml:space="preserve"> </w:t>
      </w:r>
      <w:proofErr w:type="spellStart"/>
      <w:r w:rsidRPr="008E2512">
        <w:rPr>
          <w:rFonts w:ascii="Helvetica Neue" w:hAnsi="Helvetica Neue"/>
          <w:color w:val="222222"/>
          <w:sz w:val="22"/>
          <w:szCs w:val="22"/>
          <w:shd w:val="clear" w:color="auto" w:fill="FFFFFF"/>
        </w:rPr>
        <w:t>Dragiewicz</w:t>
      </w:r>
      <w:proofErr w:type="spellEnd"/>
      <w:r w:rsidRPr="008E2512">
        <w:rPr>
          <w:rFonts w:ascii="Helvetica Neue" w:hAnsi="Helvetica Neue"/>
          <w:color w:val="222222"/>
          <w:sz w:val="22"/>
          <w:szCs w:val="22"/>
          <w:shd w:val="clear" w:color="auto" w:fill="FFFFFF"/>
        </w:rPr>
        <w:t xml:space="preserve">, Molly.  (2010). Gender Bias in the courts: Implications for Battered Mothers and Their Children. In </w:t>
      </w:r>
      <w:r w:rsidRPr="008E2512">
        <w:rPr>
          <w:rFonts w:ascii="Helvetica Neue" w:hAnsi="Helvetica Neue"/>
          <w:i/>
          <w:iCs/>
          <w:color w:val="222222"/>
          <w:sz w:val="22"/>
          <w:szCs w:val="22"/>
          <w:shd w:val="clear" w:color="auto" w:fill="FFFFFF"/>
        </w:rPr>
        <w:t>Domestic Violence, Abuse and Child Custody</w:t>
      </w:r>
      <w:r w:rsidRPr="008E2512">
        <w:rPr>
          <w:rFonts w:ascii="Helvetica Neue" w:hAnsi="Helvetica Neue"/>
          <w:color w:val="222222"/>
          <w:sz w:val="22"/>
          <w:szCs w:val="22"/>
          <w:shd w:val="clear" w:color="auto" w:fill="FFFFFF"/>
        </w:rPr>
        <w:t xml:space="preserve"> ed. Mo Therese Hannah, Ph.D. and Barry Goldstein, J.D., Chapter 5, Civic Research Institute: Kingston, NJ.</w:t>
      </w:r>
    </w:p>
    <w:p w14:paraId="5A911869" w14:textId="77777777" w:rsidR="006711CB" w:rsidRDefault="006711CB" w:rsidP="006711CB">
      <w:pPr>
        <w:pStyle w:val="EndnoteText"/>
      </w:pPr>
    </w:p>
  </w:endnote>
  <w:endnote w:id="4">
    <w:p w14:paraId="0B6262E4" w14:textId="77777777" w:rsidR="006711CB" w:rsidRPr="008E2512" w:rsidRDefault="006711CB" w:rsidP="006711CB">
      <w:pPr>
        <w:pStyle w:val="EndnoteText"/>
        <w:spacing w:after="0" w:line="240" w:lineRule="auto"/>
        <w:rPr>
          <w:rFonts w:cs="Calibri"/>
          <w:sz w:val="22"/>
          <w:szCs w:val="22"/>
        </w:rPr>
      </w:pPr>
      <w:r>
        <w:rPr>
          <w:rStyle w:val="EndnoteReference"/>
        </w:rPr>
        <w:endnoteRef/>
      </w:r>
      <w:r>
        <w:t xml:space="preserve"> </w:t>
      </w:r>
      <w:r w:rsidRPr="008E2512">
        <w:rPr>
          <w:rFonts w:cs="Calibri"/>
          <w:color w:val="1C1D1E"/>
          <w:sz w:val="22"/>
          <w:szCs w:val="22"/>
          <w:shd w:val="clear" w:color="auto" w:fill="FFFFFF"/>
        </w:rPr>
        <w:t xml:space="preserve">Brandt, S. (2023). The myth of gender neutrality in family court: A clinician's perspective on determinations of “the best interest of the child”. </w:t>
      </w:r>
      <w:r w:rsidRPr="008E2512">
        <w:rPr>
          <w:rFonts w:cs="Calibri"/>
          <w:i/>
          <w:iCs/>
          <w:color w:val="1C1D1E"/>
          <w:sz w:val="22"/>
          <w:szCs w:val="22"/>
          <w:shd w:val="clear" w:color="auto" w:fill="FFFFFF"/>
        </w:rPr>
        <w:t>International Journal of Applied Psychoanalytic Studies</w:t>
      </w:r>
      <w:r w:rsidRPr="008E2512">
        <w:rPr>
          <w:rFonts w:cs="Calibri"/>
          <w:color w:val="1C1D1E"/>
          <w:sz w:val="22"/>
          <w:szCs w:val="22"/>
          <w:shd w:val="clear" w:color="auto" w:fill="FFFFFF"/>
        </w:rPr>
        <w:t xml:space="preserve">, 20(3), 403–434. </w:t>
      </w:r>
      <w:hyperlink r:id="rId1" w:history="1">
        <w:r w:rsidRPr="008E2512">
          <w:rPr>
            <w:rStyle w:val="Hyperlink"/>
            <w:rFonts w:cs="Calibri"/>
            <w:color w:val="1155CC"/>
            <w:szCs w:val="22"/>
            <w:shd w:val="clear" w:color="auto" w:fill="FFFFFF"/>
          </w:rPr>
          <w:t>https://doi.org/10.1002/aps.1838</w:t>
        </w:r>
      </w:hyperlink>
    </w:p>
  </w:endnote>
  <w:endnote w:id="5">
    <w:p w14:paraId="58788A23" w14:textId="77777777" w:rsidR="006711CB" w:rsidRDefault="006711CB" w:rsidP="006711CB">
      <w:pPr>
        <w:pStyle w:val="EndnoteText"/>
      </w:pPr>
      <w:r>
        <w:rPr>
          <w:rStyle w:val="EndnoteReference"/>
        </w:rPr>
        <w:endnoteRef/>
      </w:r>
      <w:r>
        <w:t xml:space="preserve"> </w:t>
      </w:r>
      <w:r>
        <w:rPr>
          <w:rFonts w:ascii="Arial" w:hAnsi="Arial" w:cs="Arial"/>
          <w:color w:val="222222"/>
          <w:shd w:val="clear" w:color="auto" w:fill="FFFFFF"/>
        </w:rPr>
        <w:t xml:space="preserve">Atkinson, J. (2010). The law of relocation of children. </w:t>
      </w:r>
      <w:r>
        <w:rPr>
          <w:rFonts w:ascii="Arial" w:hAnsi="Arial" w:cs="Arial"/>
          <w:i/>
          <w:iCs/>
          <w:color w:val="222222"/>
          <w:shd w:val="clear" w:color="auto" w:fill="FFFFFF"/>
        </w:rPr>
        <w:t>Behavioral sciences &amp; the law</w:t>
      </w:r>
      <w:r>
        <w:rPr>
          <w:rFonts w:ascii="Arial" w:hAnsi="Arial" w:cs="Arial"/>
          <w:color w:val="222222"/>
          <w:shd w:val="clear" w:color="auto" w:fill="FFFFFF"/>
        </w:rPr>
        <w:t xml:space="preserve">, </w:t>
      </w:r>
      <w:r>
        <w:rPr>
          <w:rFonts w:ascii="Arial" w:hAnsi="Arial" w:cs="Arial"/>
          <w:i/>
          <w:iCs/>
          <w:color w:val="222222"/>
          <w:shd w:val="clear" w:color="auto" w:fill="FFFFFF"/>
        </w:rPr>
        <w:t>28</w:t>
      </w:r>
      <w:r>
        <w:rPr>
          <w:rFonts w:ascii="Arial" w:hAnsi="Arial" w:cs="Arial"/>
          <w:color w:val="222222"/>
          <w:shd w:val="clear" w:color="auto" w:fill="FFFFFF"/>
        </w:rPr>
        <w:t>(4), 563-579.</w:t>
      </w:r>
    </w:p>
  </w:endnote>
  <w:endnote w:id="6">
    <w:p w14:paraId="23583B3B" w14:textId="77777777" w:rsidR="006711CB" w:rsidRDefault="006711CB" w:rsidP="006711CB">
      <w:pPr>
        <w:pStyle w:val="EndnoteText"/>
      </w:pPr>
      <w:r>
        <w:rPr>
          <w:rStyle w:val="EndnoteReference"/>
        </w:rPr>
        <w:endnoteRef/>
      </w:r>
      <w:r>
        <w:t xml:space="preserve"> Wingfield, D. (2011). Observed behavior or reported directly to author.</w:t>
      </w:r>
    </w:p>
  </w:endnote>
  <w:endnote w:id="7">
    <w:p w14:paraId="0AE50A19" w14:textId="77777777" w:rsidR="006711CB" w:rsidRDefault="006711CB" w:rsidP="006711CB">
      <w:pPr>
        <w:pStyle w:val="EndnoteText"/>
      </w:pPr>
      <w:r>
        <w:rPr>
          <w:rStyle w:val="EndnoteReference"/>
        </w:rPr>
        <w:endnoteRef/>
      </w:r>
      <w:r>
        <w:t xml:space="preserve"> Wingfield, D. (2011). Observed behavior or reported directly to author.</w:t>
      </w:r>
    </w:p>
  </w:endnote>
  <w:endnote w:id="8">
    <w:p w14:paraId="0FC11563" w14:textId="77777777" w:rsidR="006711CB" w:rsidRDefault="006711CB" w:rsidP="006711CB">
      <w:pPr>
        <w:pStyle w:val="EndnoteText"/>
      </w:pPr>
      <w:r>
        <w:rPr>
          <w:rStyle w:val="EndnoteReference"/>
        </w:rPr>
        <w:endnoteRef/>
      </w:r>
      <w:r>
        <w:t xml:space="preserve"> Wingfield, D. (2011). Observed behavior or reported directly to author.</w:t>
      </w:r>
    </w:p>
  </w:endnote>
  <w:endnote w:id="9">
    <w:p w14:paraId="7D5E2232" w14:textId="77777777" w:rsidR="006711CB" w:rsidRPr="008E2512" w:rsidRDefault="006711CB" w:rsidP="006711CB">
      <w:pPr>
        <w:pStyle w:val="NormalWeb"/>
        <w:shd w:val="clear" w:color="auto" w:fill="FFFFFF"/>
        <w:spacing w:after="0"/>
        <w:textAlignment w:val="baseline"/>
        <w:rPr>
          <w:rFonts w:cs="Arial"/>
          <w:color w:val="222222"/>
        </w:rPr>
      </w:pPr>
      <w:r>
        <w:rPr>
          <w:rStyle w:val="EndnoteReference"/>
        </w:rPr>
        <w:endnoteRef/>
      </w:r>
      <w:r>
        <w:t xml:space="preserve"> </w:t>
      </w:r>
      <w:r w:rsidRPr="008E2512">
        <w:rPr>
          <w:rFonts w:cs="Arial"/>
          <w:color w:val="222222"/>
          <w:shd w:val="clear" w:color="auto" w:fill="FFFFFF"/>
        </w:rPr>
        <w:t xml:space="preserve">Clements, K. A., Sprecher, M., Modica, S., Terrones, M., Gregory, K., &amp; Sullivan, C. M. (2022). The Use of Children as a Tactic of Intimate Partner Violence and its Relationship to Survivors’ Mental Health. </w:t>
      </w:r>
      <w:r w:rsidRPr="008E2512">
        <w:rPr>
          <w:rFonts w:cs="Arial"/>
          <w:i/>
          <w:iCs/>
          <w:color w:val="222222"/>
          <w:shd w:val="clear" w:color="auto" w:fill="FFFFFF"/>
        </w:rPr>
        <w:t>Journal of family violence</w:t>
      </w:r>
      <w:r w:rsidRPr="008E2512">
        <w:rPr>
          <w:rFonts w:cs="Arial"/>
          <w:color w:val="222222"/>
          <w:shd w:val="clear" w:color="auto" w:fill="FFFFFF"/>
        </w:rPr>
        <w:t xml:space="preserve">, </w:t>
      </w:r>
      <w:r w:rsidRPr="008E2512">
        <w:rPr>
          <w:rFonts w:cs="Arial"/>
          <w:i/>
          <w:iCs/>
          <w:color w:val="222222"/>
          <w:shd w:val="clear" w:color="auto" w:fill="FFFFFF"/>
        </w:rPr>
        <w:t>37</w:t>
      </w:r>
      <w:r w:rsidRPr="008E2512">
        <w:rPr>
          <w:rFonts w:cs="Arial"/>
          <w:color w:val="222222"/>
          <w:shd w:val="clear" w:color="auto" w:fill="FFFFFF"/>
        </w:rPr>
        <w:t>(7), 1049-1055.</w:t>
      </w:r>
    </w:p>
    <w:p w14:paraId="1F52D0F3" w14:textId="77777777" w:rsidR="006711CB" w:rsidRDefault="006711CB" w:rsidP="006711CB">
      <w:pPr>
        <w:pStyle w:val="EndnoteText"/>
      </w:pPr>
    </w:p>
  </w:endnote>
  <w:endnote w:id="10">
    <w:p w14:paraId="4726CCA0" w14:textId="77777777" w:rsidR="006711CB" w:rsidRDefault="006711CB" w:rsidP="006711CB">
      <w:pPr>
        <w:pStyle w:val="EndnoteText"/>
      </w:pPr>
      <w:r>
        <w:rPr>
          <w:rStyle w:val="EndnoteReference"/>
        </w:rPr>
        <w:endnoteRef/>
      </w:r>
      <w:r>
        <w:t xml:space="preserve"> Wingfield, D. (2011). Observed behavior or reported directly to author.</w:t>
      </w:r>
    </w:p>
    <w:p w14:paraId="3684E181" w14:textId="77777777" w:rsidR="006711CB" w:rsidRDefault="006711CB" w:rsidP="006711CB">
      <w:pPr>
        <w:pStyle w:val="EndnoteText"/>
      </w:pPr>
    </w:p>
  </w:endnote>
  <w:endnote w:id="11">
    <w:p w14:paraId="22CBE15D" w14:textId="77777777" w:rsidR="006711CB" w:rsidRDefault="006711CB" w:rsidP="006711CB">
      <w:pPr>
        <w:pStyle w:val="EndnoteText"/>
      </w:pPr>
      <w:r>
        <w:rPr>
          <w:rStyle w:val="EndnoteReference"/>
        </w:rPr>
        <w:endnoteRef/>
      </w:r>
      <w:r>
        <w:t xml:space="preserve"> </w:t>
      </w:r>
      <w:r>
        <w:rPr>
          <w:color w:val="000000"/>
        </w:rPr>
        <w:t xml:space="preserve">Meier, J. (2020). U.S. child custody outcomes in cases involving parental alienation and abuse allegations: what do the data show? </w:t>
      </w:r>
      <w:r>
        <w:rPr>
          <w:i/>
          <w:iCs/>
          <w:color w:val="000000"/>
        </w:rPr>
        <w:t xml:space="preserve">Journal of Social Welfare and Family Law, </w:t>
      </w:r>
      <w:proofErr w:type="gramStart"/>
      <w:r>
        <w:rPr>
          <w:color w:val="000000"/>
        </w:rPr>
        <w:t>January,</w:t>
      </w:r>
      <w:proofErr w:type="gramEnd"/>
      <w:r>
        <w:rPr>
          <w:color w:val="000000"/>
        </w:rPr>
        <w:t xml:space="preserve"> 1-14. DOI: 10.1080/09649069.2020.1701941  </w:t>
      </w:r>
    </w:p>
  </w:endnote>
  <w:endnote w:id="12">
    <w:p w14:paraId="02917BEA" w14:textId="77777777" w:rsidR="006711CB" w:rsidRDefault="006711CB" w:rsidP="006711CB">
      <w:pPr>
        <w:pStyle w:val="EndnoteText"/>
      </w:pPr>
      <w:r>
        <w:rPr>
          <w:rStyle w:val="EndnoteReference"/>
        </w:rPr>
        <w:endnoteRef/>
      </w:r>
      <w:r>
        <w:t xml:space="preserve"> Wingfield, D. (2011). Observed behavior or reported directly to author.</w:t>
      </w:r>
    </w:p>
    <w:p w14:paraId="224B6C4B" w14:textId="77777777" w:rsidR="006711CB" w:rsidRDefault="006711CB" w:rsidP="006711CB">
      <w:pPr>
        <w:pStyle w:val="EndnoteText"/>
      </w:pPr>
    </w:p>
  </w:endnote>
  <w:endnote w:id="13">
    <w:p w14:paraId="42863A23" w14:textId="77777777" w:rsidR="006711CB" w:rsidRDefault="006711CB" w:rsidP="006711CB">
      <w:pPr>
        <w:pStyle w:val="EndnoteText"/>
      </w:pPr>
      <w:r>
        <w:rPr>
          <w:rStyle w:val="EndnoteReference"/>
        </w:rPr>
        <w:endnoteRef/>
      </w:r>
      <w:r>
        <w:rPr>
          <w:rFonts w:cs="Calibri"/>
          <w:color w:val="222222"/>
          <w:sz w:val="22"/>
          <w:szCs w:val="22"/>
          <w:shd w:val="clear" w:color="auto" w:fill="FFFFFF"/>
        </w:rPr>
        <w:t xml:space="preserve">Chesler, Phyllis, (2011). Mothers on Trial: </w:t>
      </w:r>
      <w:r>
        <w:rPr>
          <w:rFonts w:cs="Calibri"/>
          <w:color w:val="0F1111"/>
          <w:sz w:val="22"/>
          <w:szCs w:val="22"/>
          <w:shd w:val="clear" w:color="auto" w:fill="FFFFFF"/>
        </w:rPr>
        <w:t>The Battle for Children and Custody.</w:t>
      </w:r>
    </w:p>
    <w:p w14:paraId="327126BC" w14:textId="77777777" w:rsidR="006711CB" w:rsidRDefault="006711CB" w:rsidP="006711CB">
      <w:pPr>
        <w:pStyle w:val="EndnoteText"/>
      </w:pPr>
      <w:r>
        <w:t xml:space="preserve"> </w:t>
      </w:r>
    </w:p>
  </w:endnote>
  <w:endnote w:id="14">
    <w:p w14:paraId="39E7C1DB" w14:textId="77777777" w:rsidR="006711CB" w:rsidRDefault="006711CB" w:rsidP="006711CB">
      <w:pPr>
        <w:pStyle w:val="EndnoteText"/>
      </w:pPr>
      <w:r>
        <w:rPr>
          <w:rStyle w:val="EndnoteReference"/>
        </w:rPr>
        <w:endnoteRef/>
      </w:r>
      <w:r>
        <w:t xml:space="preserve"> </w:t>
      </w:r>
      <w:r>
        <w:rPr>
          <w:rFonts w:cs="Calibri"/>
          <w:color w:val="303030"/>
          <w:sz w:val="22"/>
          <w:szCs w:val="22"/>
          <w:shd w:val="clear" w:color="auto" w:fill="FFFFFF"/>
        </w:rPr>
        <w:t>Zeoli, A. M., Rivera, E. A., Sullivan, C. M., &amp; Kubiak, S. (2013). Post-Separation Abuse of Women and their Children: Boundary-setting and Family Court Utilization among Victimized Mothers. </w:t>
      </w:r>
      <w:r>
        <w:rPr>
          <w:rFonts w:cs="Calibri"/>
          <w:i/>
          <w:iCs/>
          <w:color w:val="303030"/>
          <w:sz w:val="22"/>
          <w:szCs w:val="22"/>
          <w:shd w:val="clear" w:color="auto" w:fill="FFFFFF"/>
        </w:rPr>
        <w:t>Journal of family violence</w:t>
      </w:r>
      <w:r>
        <w:rPr>
          <w:rFonts w:cs="Calibri"/>
          <w:color w:val="303030"/>
          <w:sz w:val="22"/>
          <w:szCs w:val="22"/>
          <w:shd w:val="clear" w:color="auto" w:fill="FFFFFF"/>
        </w:rPr>
        <w:t>, </w:t>
      </w:r>
      <w:r>
        <w:rPr>
          <w:rFonts w:cs="Calibri"/>
          <w:i/>
          <w:iCs/>
          <w:color w:val="303030"/>
          <w:sz w:val="22"/>
          <w:szCs w:val="22"/>
          <w:shd w:val="clear" w:color="auto" w:fill="FFFFFF"/>
        </w:rPr>
        <w:t>28</w:t>
      </w:r>
      <w:r>
        <w:rPr>
          <w:rFonts w:cs="Calibri"/>
          <w:color w:val="303030"/>
          <w:sz w:val="22"/>
          <w:szCs w:val="22"/>
          <w:shd w:val="clear" w:color="auto" w:fill="FFFFFF"/>
        </w:rPr>
        <w:t xml:space="preserve">(6), 547–560. </w:t>
      </w:r>
      <w:hyperlink r:id="rId2" w:history="1">
        <w:r>
          <w:rPr>
            <w:rStyle w:val="Hyperlink"/>
            <w:rFonts w:cs="Calibri"/>
            <w:color w:val="1155CC"/>
            <w:shd w:val="clear" w:color="auto" w:fill="FFFFFF"/>
          </w:rPr>
          <w:t>https://doi.org/10.1007/s10896-013-9528-7</w:t>
        </w:r>
      </w:hyperlink>
      <w:r>
        <w:rPr>
          <w:rFonts w:cs="Calibri"/>
          <w:color w:val="303030"/>
          <w:sz w:val="22"/>
          <w:szCs w:val="22"/>
          <w:shd w:val="clear" w:color="auto" w:fill="FFFFFF"/>
        </w:rPr>
        <w:t> </w:t>
      </w:r>
      <w:r>
        <w:rPr>
          <w:rFonts w:cs="Calibri"/>
          <w:color w:val="333333"/>
          <w:sz w:val="22"/>
          <w:szCs w:val="22"/>
          <w:shd w:val="clear" w:color="auto" w:fill="FFFFFF"/>
        </w:rPr>
        <w:t> </w:t>
      </w:r>
    </w:p>
  </w:endnote>
  <w:endnote w:id="15">
    <w:p w14:paraId="0B04B3F2" w14:textId="77777777" w:rsidR="006711CB" w:rsidRDefault="006711CB" w:rsidP="006711CB">
      <w:pPr>
        <w:pStyle w:val="EndnoteText"/>
      </w:pPr>
      <w:r>
        <w:rPr>
          <w:rStyle w:val="EndnoteReference"/>
        </w:rPr>
        <w:endnoteRef/>
      </w:r>
      <w:r>
        <w:t xml:space="preserve"> </w:t>
      </w:r>
      <w:r>
        <w:rPr>
          <w:rFonts w:cs="Calibri"/>
          <w:color w:val="222222"/>
          <w:sz w:val="22"/>
          <w:szCs w:val="22"/>
          <w:shd w:val="clear" w:color="auto" w:fill="FFFFFF"/>
        </w:rPr>
        <w:t xml:space="preserve">Chesler, Phyllis, (2011). Mothers on Trial: </w:t>
      </w:r>
      <w:r>
        <w:rPr>
          <w:rFonts w:cs="Calibri"/>
          <w:color w:val="0F1111"/>
          <w:sz w:val="22"/>
          <w:szCs w:val="22"/>
          <w:shd w:val="clear" w:color="auto" w:fill="FFFFFF"/>
        </w:rPr>
        <w:t>The Battle for Children and Custody.</w:t>
      </w:r>
    </w:p>
    <w:p w14:paraId="4E780608" w14:textId="77777777" w:rsidR="006711CB" w:rsidRDefault="006711CB" w:rsidP="006711CB">
      <w:pPr>
        <w:pStyle w:val="EndnoteText"/>
      </w:pPr>
    </w:p>
  </w:endnote>
  <w:endnote w:id="16">
    <w:p w14:paraId="6D8C46CE" w14:textId="77777777" w:rsidR="006711CB" w:rsidRDefault="006711CB" w:rsidP="006711CB">
      <w:pPr>
        <w:pStyle w:val="EndnoteText"/>
      </w:pPr>
      <w:r>
        <w:rPr>
          <w:rStyle w:val="EndnoteReference"/>
        </w:rPr>
        <w:endnoteRef/>
      </w:r>
      <w:r>
        <w:t xml:space="preserve"> Wingfield, D. (2011). Observed behavior or reported directly to author.</w:t>
      </w:r>
    </w:p>
    <w:p w14:paraId="39854E3D" w14:textId="77777777" w:rsidR="006711CB" w:rsidRDefault="006711CB" w:rsidP="006711CB">
      <w:pPr>
        <w:pStyle w:val="EndnoteText"/>
      </w:pPr>
    </w:p>
  </w:endnote>
  <w:endnote w:id="17">
    <w:p w14:paraId="4A17484F" w14:textId="77777777" w:rsidR="006711CB" w:rsidRDefault="006711CB" w:rsidP="006711CB">
      <w:pPr>
        <w:pStyle w:val="EndnoteText"/>
      </w:pPr>
      <w:r>
        <w:rPr>
          <w:rStyle w:val="EndnoteReference"/>
        </w:rPr>
        <w:endnoteRef/>
      </w:r>
      <w:r>
        <w:t xml:space="preserve"> </w:t>
      </w:r>
      <w:r>
        <w:rPr>
          <w:rFonts w:ascii="Roboto" w:hAnsi="Roboto"/>
          <w:color w:val="212529"/>
          <w:sz w:val="22"/>
          <w:szCs w:val="22"/>
          <w:shd w:val="clear" w:color="auto" w:fill="FFFFFF"/>
        </w:rPr>
        <w:t xml:space="preserve">Jaffe-Geffner, N. (2022). Gender Bias in Cross-Allegation Domestic Violence-Parental Alienation Custody Cases: Can States Legislate the </w:t>
      </w:r>
      <w:proofErr w:type="gramStart"/>
      <w:r>
        <w:rPr>
          <w:rFonts w:ascii="Roboto" w:hAnsi="Roboto"/>
          <w:color w:val="212529"/>
          <w:sz w:val="22"/>
          <w:szCs w:val="22"/>
          <w:shd w:val="clear" w:color="auto" w:fill="FFFFFF"/>
        </w:rPr>
        <w:t>Fix?.</w:t>
      </w:r>
      <w:proofErr w:type="gramEnd"/>
      <w:r>
        <w:rPr>
          <w:rFonts w:ascii="Roboto" w:hAnsi="Roboto"/>
          <w:color w:val="212529"/>
          <w:sz w:val="22"/>
          <w:szCs w:val="22"/>
          <w:shd w:val="clear" w:color="auto" w:fill="FFFFFF"/>
        </w:rPr>
        <w:t xml:space="preserve"> </w:t>
      </w:r>
      <w:r>
        <w:rPr>
          <w:rFonts w:ascii="Roboto" w:hAnsi="Roboto"/>
          <w:i/>
          <w:iCs/>
          <w:color w:val="212529"/>
          <w:sz w:val="22"/>
          <w:szCs w:val="22"/>
          <w:shd w:val="clear" w:color="auto" w:fill="FFFFFF"/>
        </w:rPr>
        <w:t>Columbia Journal of Gender and Law</w:t>
      </w:r>
      <w:r>
        <w:rPr>
          <w:rFonts w:ascii="Roboto" w:hAnsi="Roboto"/>
          <w:color w:val="212529"/>
          <w:sz w:val="22"/>
          <w:szCs w:val="22"/>
          <w:shd w:val="clear" w:color="auto" w:fill="FFFFFF"/>
        </w:rPr>
        <w:t xml:space="preserve">, </w:t>
      </w:r>
      <w:r>
        <w:rPr>
          <w:rFonts w:ascii="Roboto" w:hAnsi="Roboto"/>
          <w:i/>
          <w:iCs/>
          <w:color w:val="212529"/>
          <w:sz w:val="22"/>
          <w:szCs w:val="22"/>
          <w:shd w:val="clear" w:color="auto" w:fill="FFFFFF"/>
        </w:rPr>
        <w:t>42</w:t>
      </w:r>
      <w:r>
        <w:rPr>
          <w:rFonts w:ascii="Roboto" w:hAnsi="Roboto"/>
          <w:color w:val="212529"/>
          <w:sz w:val="22"/>
          <w:szCs w:val="22"/>
          <w:shd w:val="clear" w:color="auto" w:fill="FFFFFF"/>
        </w:rPr>
        <w:t xml:space="preserve">(1), 58–111. </w:t>
      </w:r>
      <w:hyperlink r:id="rId3" w:history="1">
        <w:r>
          <w:rPr>
            <w:rStyle w:val="Hyperlink"/>
            <w:rFonts w:ascii="Roboto" w:hAnsi="Roboto"/>
            <w:color w:val="1155CC"/>
            <w:shd w:val="clear" w:color="auto" w:fill="FFFFFF"/>
          </w:rPr>
          <w:t>https://doi.org/10.52214/cjgl.v42i1.9373</w:t>
        </w:r>
      </w:hyperlink>
    </w:p>
  </w:endnote>
  <w:endnote w:id="18">
    <w:p w14:paraId="7A3DE9D8" w14:textId="77777777" w:rsidR="006711CB" w:rsidRDefault="006711CB" w:rsidP="006711CB">
      <w:pPr>
        <w:pStyle w:val="EndnoteText"/>
      </w:pPr>
      <w:r>
        <w:rPr>
          <w:rStyle w:val="EndnoteReference"/>
        </w:rPr>
        <w:endnoteRef/>
      </w:r>
      <w:r>
        <w:t xml:space="preserve"> </w:t>
      </w:r>
      <w:r>
        <w:rPr>
          <w:color w:val="111111"/>
        </w:rPr>
        <w:t xml:space="preserve">Walker, L.E.A., Cummings, D.M., &amp; Cummings, N. A. (Eds.). (2012). </w:t>
      </w:r>
      <w:r>
        <w:rPr>
          <w:i/>
          <w:iCs/>
          <w:color w:val="111111"/>
        </w:rPr>
        <w:t>Our Broken Family Court System</w:t>
      </w:r>
      <w:r>
        <w:rPr>
          <w:color w:val="111111"/>
        </w:rPr>
        <w:t>. Ithaca Press: NY. </w:t>
      </w:r>
    </w:p>
  </w:endnote>
  <w:endnote w:id="19">
    <w:p w14:paraId="3440F9EE" w14:textId="77777777" w:rsidR="006711CB" w:rsidRDefault="006711CB" w:rsidP="006711CB">
      <w:pPr>
        <w:pStyle w:val="EndnoteText"/>
      </w:pPr>
      <w:r>
        <w:rPr>
          <w:rStyle w:val="EndnoteReference"/>
        </w:rPr>
        <w:endnoteRef/>
      </w:r>
      <w:r>
        <w:t xml:space="preserve"> Wingfield, D. (2011). Observed behavior or reported directly to author.</w:t>
      </w:r>
    </w:p>
    <w:p w14:paraId="3BC1000B" w14:textId="77777777" w:rsidR="006711CB" w:rsidRDefault="006711CB" w:rsidP="006711CB">
      <w:pPr>
        <w:pStyle w:val="EndnoteText"/>
      </w:pPr>
    </w:p>
  </w:endnote>
  <w:endnote w:id="20">
    <w:p w14:paraId="762B8501" w14:textId="77777777" w:rsidR="006711CB" w:rsidRDefault="006711CB" w:rsidP="006711CB">
      <w:pPr>
        <w:pStyle w:val="EndnoteText"/>
      </w:pPr>
      <w:r>
        <w:rPr>
          <w:rStyle w:val="EndnoteReference"/>
        </w:rPr>
        <w:endnoteRef/>
      </w:r>
      <w:r>
        <w:t xml:space="preserve"> </w:t>
      </w:r>
      <w:r>
        <w:rPr>
          <w:color w:val="000000"/>
        </w:rPr>
        <w:t xml:space="preserve">Hon. Jerry J. Bowles, Hon. Kaye K. Christian, Margaret B. Drew, </w:t>
      </w:r>
      <w:proofErr w:type="gramStart"/>
      <w:r>
        <w:rPr>
          <w:color w:val="000000"/>
        </w:rPr>
        <w:t>JD,  &amp;</w:t>
      </w:r>
      <w:proofErr w:type="gramEnd"/>
      <w:r>
        <w:rPr>
          <w:color w:val="000000"/>
        </w:rPr>
        <w:t xml:space="preserve"> Katheryn L. Yetter, JD for the National Council of Juvenile and Family Court Judges. (2008). A Judicial Guide to Child Safety in Custody Cases @ </w:t>
      </w:r>
      <w:hyperlink r:id="rId4" w:history="1">
        <w:r>
          <w:rPr>
            <w:rStyle w:val="Hyperlink"/>
            <w:i/>
            <w:iCs/>
          </w:rPr>
          <w:t>http://www.ncjfcj.org/sites/default/files/judicial%20guide_0_0.pdf</w:t>
        </w:r>
      </w:hyperlink>
    </w:p>
  </w:endnote>
  <w:endnote w:id="21">
    <w:p w14:paraId="7E9A5D7D" w14:textId="77777777" w:rsidR="006711CB" w:rsidRDefault="006711CB" w:rsidP="006711CB">
      <w:pPr>
        <w:pStyle w:val="EndnoteText"/>
      </w:pPr>
      <w:r>
        <w:rPr>
          <w:rStyle w:val="EndnoteReference"/>
        </w:rPr>
        <w:endnoteRef/>
      </w:r>
      <w:r>
        <w:t xml:space="preserve"> </w:t>
      </w:r>
      <w:r>
        <w:rPr>
          <w:rFonts w:ascii="Arial" w:hAnsi="Arial" w:cs="Arial"/>
          <w:color w:val="222222"/>
          <w:shd w:val="clear" w:color="auto" w:fill="FFFFFF"/>
        </w:rPr>
        <w:t xml:space="preserve">Godbout, E., Parent, C., &amp; Saint-Jacques, M. C. (2015). Positions taken by judges and custody experts on issues relating to the best interests of children in custody disputes in Quebec. </w:t>
      </w:r>
      <w:r>
        <w:rPr>
          <w:rFonts w:ascii="Arial" w:hAnsi="Arial" w:cs="Arial"/>
          <w:i/>
          <w:iCs/>
          <w:color w:val="222222"/>
          <w:shd w:val="clear" w:color="auto" w:fill="FFFFFF"/>
        </w:rPr>
        <w:t>International Journal of Law, Policy and the Family</w:t>
      </w:r>
      <w:r>
        <w:rPr>
          <w:rFonts w:ascii="Arial" w:hAnsi="Arial" w:cs="Arial"/>
          <w:color w:val="222222"/>
          <w:shd w:val="clear" w:color="auto" w:fill="FFFFFF"/>
        </w:rPr>
        <w:t xml:space="preserve">, </w:t>
      </w:r>
      <w:r>
        <w:rPr>
          <w:rFonts w:ascii="Arial" w:hAnsi="Arial" w:cs="Arial"/>
          <w:i/>
          <w:iCs/>
          <w:color w:val="222222"/>
          <w:shd w:val="clear" w:color="auto" w:fill="FFFFFF"/>
        </w:rPr>
        <w:t>29</w:t>
      </w:r>
      <w:r>
        <w:rPr>
          <w:rFonts w:ascii="Arial" w:hAnsi="Arial" w:cs="Arial"/>
          <w:color w:val="222222"/>
          <w:shd w:val="clear" w:color="auto" w:fill="FFFFFF"/>
        </w:rPr>
        <w:t>(3), 272-300.</w:t>
      </w:r>
    </w:p>
  </w:endnote>
  <w:endnote w:id="22">
    <w:p w14:paraId="0301746F" w14:textId="77777777" w:rsidR="006711CB" w:rsidRPr="00E666FD" w:rsidRDefault="006711CB" w:rsidP="006711CB">
      <w:pPr>
        <w:pStyle w:val="NormalWeb"/>
        <w:spacing w:after="0"/>
        <w:textAlignment w:val="baseline"/>
        <w:rPr>
          <w:rFonts w:ascii="Times New Roman" w:hAnsi="Times New Roman"/>
          <w:i/>
          <w:iCs/>
          <w:color w:val="000000"/>
        </w:rPr>
      </w:pPr>
      <w:r>
        <w:rPr>
          <w:rStyle w:val="EndnoteReference"/>
        </w:rPr>
        <w:endnoteRef/>
      </w:r>
      <w:r>
        <w:t xml:space="preserve"> </w:t>
      </w:r>
      <w:r w:rsidRPr="00E666FD">
        <w:rPr>
          <w:rFonts w:ascii="Times New Roman" w:hAnsi="Times New Roman"/>
          <w:color w:val="111111"/>
        </w:rPr>
        <w:t xml:space="preserve">Khaw, L., Bermea, A., </w:t>
      </w:r>
      <w:proofErr w:type="spellStart"/>
      <w:proofErr w:type="gramStart"/>
      <w:r w:rsidRPr="00E666FD">
        <w:rPr>
          <w:rFonts w:ascii="Times New Roman" w:hAnsi="Times New Roman"/>
          <w:color w:val="111111"/>
        </w:rPr>
        <w:t>Hardesty,J</w:t>
      </w:r>
      <w:proofErr w:type="spellEnd"/>
      <w:r w:rsidRPr="00E666FD">
        <w:rPr>
          <w:rFonts w:ascii="Times New Roman" w:hAnsi="Times New Roman"/>
          <w:color w:val="111111"/>
        </w:rPr>
        <w:t>.</w:t>
      </w:r>
      <w:proofErr w:type="gramEnd"/>
      <w:r w:rsidRPr="00E666FD">
        <w:rPr>
          <w:rFonts w:ascii="Times New Roman" w:hAnsi="Times New Roman"/>
          <w:color w:val="111111"/>
        </w:rPr>
        <w:t xml:space="preserve"> L., Saunders, D. &amp;  Whittaker, A. M. </w:t>
      </w:r>
      <w:r w:rsidRPr="00E666FD">
        <w:rPr>
          <w:rFonts w:ascii="Times New Roman" w:hAnsi="Times New Roman"/>
          <w:color w:val="000000"/>
        </w:rPr>
        <w:t xml:space="preserve">(2018). </w:t>
      </w:r>
      <w:r w:rsidRPr="00E666FD">
        <w:rPr>
          <w:rFonts w:ascii="Times New Roman" w:hAnsi="Times New Roman"/>
          <w:color w:val="111111"/>
        </w:rPr>
        <w:t>“The System Had Choked Me Too”: Abused Mothers’ Perceptions of the Custody Determination Process That Resulted in Negative Custody Outcomes.</w:t>
      </w:r>
      <w:r w:rsidRPr="00E666FD">
        <w:rPr>
          <w:rFonts w:ascii="Times New Roman" w:hAnsi="Times New Roman"/>
          <w:color w:val="777777"/>
        </w:rPr>
        <w:t xml:space="preserve"> </w:t>
      </w:r>
      <w:r w:rsidRPr="00E666FD">
        <w:rPr>
          <w:rFonts w:ascii="Times New Roman" w:hAnsi="Times New Roman"/>
          <w:i/>
          <w:iCs/>
          <w:color w:val="000000"/>
        </w:rPr>
        <w:t>Journal of Interpersonal Violence</w:t>
      </w:r>
      <w:r w:rsidRPr="00E666FD">
        <w:rPr>
          <w:rFonts w:ascii="Times New Roman" w:hAnsi="Times New Roman"/>
          <w:color w:val="000000"/>
        </w:rPr>
        <w:t xml:space="preserve"> 1-25. DOI: 10.1177/0886260518791226.</w:t>
      </w:r>
    </w:p>
    <w:p w14:paraId="69DC68B7" w14:textId="77777777" w:rsidR="006711CB" w:rsidRDefault="006711CB" w:rsidP="006711CB">
      <w:pPr>
        <w:pStyle w:val="EndnoteText"/>
      </w:pPr>
    </w:p>
  </w:endnote>
  <w:endnote w:id="23">
    <w:p w14:paraId="47AA1CA2" w14:textId="77777777" w:rsidR="006711CB" w:rsidRDefault="006711CB" w:rsidP="006711CB">
      <w:pPr>
        <w:pStyle w:val="NormalWeb"/>
        <w:spacing w:after="0"/>
        <w:textAlignment w:val="baseline"/>
        <w:rPr>
          <w:rFonts w:ascii="Roboto" w:hAnsi="Roboto"/>
          <w:color w:val="333333"/>
          <w:sz w:val="22"/>
          <w:szCs w:val="22"/>
        </w:rPr>
      </w:pPr>
      <w:r>
        <w:rPr>
          <w:rStyle w:val="EndnoteReference"/>
        </w:rPr>
        <w:endnoteRef/>
      </w:r>
      <w:r>
        <w:t xml:space="preserve"> </w:t>
      </w:r>
      <w:r>
        <w:rPr>
          <w:rFonts w:ascii="Helvetica Neue" w:hAnsi="Helvetica Neue"/>
          <w:color w:val="333333"/>
          <w:sz w:val="30"/>
          <w:szCs w:val="30"/>
          <w:shd w:val="clear" w:color="auto" w:fill="FFFFFF"/>
        </w:rPr>
        <w:t xml:space="preserve">Andreano, J. (2020). The Disproportionate Effect of Mutual Restraining Orders on Same-Sex Domestic Violence Victims. </w:t>
      </w:r>
      <w:r>
        <w:rPr>
          <w:rFonts w:ascii="Helvetica Neue" w:hAnsi="Helvetica Neue"/>
          <w:i/>
          <w:iCs/>
          <w:color w:val="333333"/>
          <w:sz w:val="30"/>
          <w:szCs w:val="30"/>
          <w:shd w:val="clear" w:color="auto" w:fill="FFFFFF"/>
        </w:rPr>
        <w:t>California Law Review</w:t>
      </w:r>
      <w:r>
        <w:rPr>
          <w:rFonts w:ascii="Helvetica Neue" w:hAnsi="Helvetica Neue"/>
          <w:color w:val="333333"/>
          <w:sz w:val="30"/>
          <w:szCs w:val="30"/>
          <w:shd w:val="clear" w:color="auto" w:fill="FFFFFF"/>
        </w:rPr>
        <w:t xml:space="preserve">, </w:t>
      </w:r>
      <w:r>
        <w:rPr>
          <w:rFonts w:ascii="Helvetica Neue" w:hAnsi="Helvetica Neue"/>
          <w:i/>
          <w:iCs/>
          <w:color w:val="333333"/>
          <w:sz w:val="30"/>
          <w:szCs w:val="30"/>
          <w:shd w:val="clear" w:color="auto" w:fill="FFFFFF"/>
        </w:rPr>
        <w:t>108</w:t>
      </w:r>
      <w:r>
        <w:rPr>
          <w:rFonts w:ascii="Helvetica Neue" w:hAnsi="Helvetica Neue"/>
          <w:color w:val="333333"/>
          <w:sz w:val="30"/>
          <w:szCs w:val="30"/>
          <w:shd w:val="clear" w:color="auto" w:fill="FFFFFF"/>
        </w:rPr>
        <w:t xml:space="preserve">(3), 1047–1074. </w:t>
      </w:r>
      <w:hyperlink r:id="rId5" w:history="1">
        <w:r>
          <w:rPr>
            <w:rStyle w:val="Hyperlink"/>
            <w:rFonts w:ascii="Helvetica Neue" w:hAnsi="Helvetica Neue"/>
            <w:color w:val="1155CC"/>
            <w:sz w:val="30"/>
            <w:szCs w:val="30"/>
            <w:shd w:val="clear" w:color="auto" w:fill="FFFFFF"/>
          </w:rPr>
          <w:t>https://www.jstor.org/stable/26977930</w:t>
        </w:r>
      </w:hyperlink>
      <w:r>
        <w:rPr>
          <w:rFonts w:ascii="Helvetica Neue" w:hAnsi="Helvetica Neue"/>
          <w:color w:val="333333"/>
          <w:sz w:val="30"/>
          <w:szCs w:val="30"/>
          <w:shd w:val="clear" w:color="auto" w:fill="FFFFFF"/>
        </w:rPr>
        <w:t> </w:t>
      </w:r>
    </w:p>
    <w:p w14:paraId="64194FC3" w14:textId="77777777" w:rsidR="006711CB" w:rsidRDefault="006711CB" w:rsidP="006711CB">
      <w:pPr>
        <w:pStyle w:val="EndnoteText"/>
      </w:pPr>
    </w:p>
  </w:endnote>
  <w:endnote w:id="24">
    <w:p w14:paraId="3A15CEAC" w14:textId="77777777" w:rsidR="006711CB" w:rsidRDefault="006711CB" w:rsidP="006711CB">
      <w:pPr>
        <w:pStyle w:val="EndnoteText"/>
      </w:pPr>
      <w:r>
        <w:rPr>
          <w:rStyle w:val="EndnoteReference"/>
        </w:rPr>
        <w:endnoteRef/>
      </w:r>
      <w:r>
        <w:t xml:space="preserve"> </w:t>
      </w:r>
      <w:r>
        <w:rPr>
          <w:rFonts w:ascii="Arial" w:hAnsi="Arial" w:cs="Arial"/>
          <w:color w:val="222222"/>
          <w:shd w:val="clear" w:color="auto" w:fill="FFFFFF"/>
        </w:rPr>
        <w:t xml:space="preserve">Committee on Psychosocial Aspects of Child and Family Health, Committee on Early Childhood, Adoption, and Dependent Care, and Section on Developmental and Behavioral Pediatrics, Garner, A. S., Shonkoff, J. P., Siegel, B. S., Dobbins, M. I., Earls, M. F., ... &amp; Wood, D. L. (2012). Early childhood adversity, toxic stress, and the role of the pediatrician: translating developmental science into lifelong health. </w:t>
      </w:r>
      <w:r>
        <w:rPr>
          <w:rFonts w:ascii="Arial" w:hAnsi="Arial" w:cs="Arial"/>
          <w:i/>
          <w:iCs/>
          <w:color w:val="222222"/>
          <w:shd w:val="clear" w:color="auto" w:fill="FFFFFF"/>
        </w:rPr>
        <w:t>Pediatrics</w:t>
      </w:r>
      <w:r>
        <w:rPr>
          <w:rFonts w:ascii="Arial" w:hAnsi="Arial" w:cs="Arial"/>
          <w:color w:val="222222"/>
          <w:shd w:val="clear" w:color="auto" w:fill="FFFFFF"/>
        </w:rPr>
        <w:t xml:space="preserve">, </w:t>
      </w:r>
      <w:r>
        <w:rPr>
          <w:rFonts w:ascii="Arial" w:hAnsi="Arial" w:cs="Arial"/>
          <w:i/>
          <w:iCs/>
          <w:color w:val="222222"/>
          <w:shd w:val="clear" w:color="auto" w:fill="FFFFFF"/>
        </w:rPr>
        <w:t>129</w:t>
      </w:r>
      <w:r>
        <w:rPr>
          <w:rFonts w:ascii="Arial" w:hAnsi="Arial" w:cs="Arial"/>
          <w:color w:val="222222"/>
          <w:shd w:val="clear" w:color="auto" w:fill="FFFFFF"/>
        </w:rPr>
        <w:t>(1), e224-e231.</w:t>
      </w:r>
    </w:p>
  </w:endnote>
  <w:endnote w:id="25">
    <w:p w14:paraId="71A6665C" w14:textId="77777777" w:rsidR="006711CB" w:rsidRPr="001D52F3" w:rsidRDefault="006711CB" w:rsidP="006711CB">
      <w:pPr>
        <w:pStyle w:val="NormalWeb"/>
        <w:shd w:val="clear" w:color="auto" w:fill="FFFFFF"/>
        <w:spacing w:after="0"/>
        <w:textAlignment w:val="baseline"/>
        <w:rPr>
          <w:rFonts w:ascii="Times New Roman" w:hAnsi="Times New Roman"/>
          <w:color w:val="000000"/>
        </w:rPr>
      </w:pPr>
      <w:r>
        <w:rPr>
          <w:rStyle w:val="EndnoteReference"/>
        </w:rPr>
        <w:endnoteRef/>
      </w:r>
      <w:r>
        <w:t xml:space="preserve"> </w:t>
      </w:r>
      <w:r w:rsidRPr="001D52F3">
        <w:rPr>
          <w:rFonts w:ascii="Times New Roman" w:hAnsi="Times New Roman"/>
          <w:color w:val="333333"/>
        </w:rPr>
        <w:t xml:space="preserve">Bancroft, L. &amp; Silverman, J. G. (2002). </w:t>
      </w:r>
      <w:r w:rsidRPr="001D52F3">
        <w:rPr>
          <w:rFonts w:ascii="Times New Roman" w:hAnsi="Times New Roman"/>
          <w:color w:val="000000"/>
        </w:rPr>
        <w:t xml:space="preserve">The Batterer as Parent: Addressing the Impact of Domestic Violence on Family Dynamics. </w:t>
      </w:r>
      <w:r w:rsidRPr="001D52F3">
        <w:rPr>
          <w:rFonts w:ascii="Times New Roman" w:hAnsi="Times New Roman"/>
          <w:color w:val="333333"/>
          <w:shd w:val="clear" w:color="auto" w:fill="FFFFFF"/>
        </w:rPr>
        <w:t>SAGE Publications, Inc.: Thousand Oaks, CA.</w:t>
      </w:r>
    </w:p>
    <w:p w14:paraId="17B1DB60" w14:textId="77777777" w:rsidR="006711CB" w:rsidRDefault="006711CB" w:rsidP="006711CB">
      <w:pPr>
        <w:pStyle w:val="EndnoteText"/>
      </w:pPr>
    </w:p>
  </w:endnote>
  <w:endnote w:id="26">
    <w:p w14:paraId="1D39A068" w14:textId="77777777" w:rsidR="006711CB" w:rsidRDefault="006711CB" w:rsidP="006711CB">
      <w:pPr>
        <w:pStyle w:val="NormalWeb"/>
        <w:shd w:val="clear" w:color="auto" w:fill="FFFFFF"/>
        <w:spacing w:after="0"/>
        <w:textAlignment w:val="baseline"/>
        <w:rPr>
          <w:color w:val="111111"/>
        </w:rPr>
      </w:pPr>
      <w:r>
        <w:rPr>
          <w:rStyle w:val="EndnoteReference"/>
        </w:rPr>
        <w:endnoteRef/>
      </w:r>
      <w:r>
        <w:t xml:space="preserve"> </w:t>
      </w:r>
      <w:r>
        <w:rPr>
          <w:color w:val="111111"/>
        </w:rPr>
        <w:t xml:space="preserve">Hanna, C. </w:t>
      </w:r>
      <w:r>
        <w:rPr>
          <w:color w:val="333333"/>
          <w:sz w:val="21"/>
          <w:szCs w:val="21"/>
          <w:shd w:val="clear" w:color="auto" w:fill="FFFFFF"/>
        </w:rPr>
        <w:t xml:space="preserve">(2009). The Paradox of Progress: Translating Evan Stark’s Coercive Control </w:t>
      </w:r>
      <w:proofErr w:type="gramStart"/>
      <w:r>
        <w:rPr>
          <w:color w:val="333333"/>
          <w:sz w:val="21"/>
          <w:szCs w:val="21"/>
          <w:shd w:val="clear" w:color="auto" w:fill="FFFFFF"/>
        </w:rPr>
        <w:t>Into</w:t>
      </w:r>
      <w:proofErr w:type="gramEnd"/>
      <w:r>
        <w:rPr>
          <w:color w:val="333333"/>
          <w:sz w:val="21"/>
          <w:szCs w:val="21"/>
          <w:shd w:val="clear" w:color="auto" w:fill="FFFFFF"/>
        </w:rPr>
        <w:t xml:space="preserve"> Legal Doctrine for Abused Women. </w:t>
      </w:r>
      <w:r>
        <w:rPr>
          <w:i/>
          <w:iCs/>
          <w:color w:val="333333"/>
          <w:sz w:val="21"/>
          <w:szCs w:val="21"/>
          <w:shd w:val="clear" w:color="auto" w:fill="FFFFFF"/>
        </w:rPr>
        <w:t>Violence Against Women</w:t>
      </w:r>
      <w:r>
        <w:rPr>
          <w:color w:val="333333"/>
          <w:sz w:val="21"/>
          <w:szCs w:val="21"/>
          <w:shd w:val="clear" w:color="auto" w:fill="FFFFFF"/>
        </w:rPr>
        <w:t>, </w:t>
      </w:r>
      <w:r>
        <w:rPr>
          <w:i/>
          <w:iCs/>
          <w:color w:val="333333"/>
          <w:sz w:val="21"/>
          <w:szCs w:val="21"/>
          <w:shd w:val="clear" w:color="auto" w:fill="FFFFFF"/>
        </w:rPr>
        <w:t>15</w:t>
      </w:r>
      <w:r>
        <w:rPr>
          <w:color w:val="333333"/>
          <w:sz w:val="21"/>
          <w:szCs w:val="21"/>
          <w:shd w:val="clear" w:color="auto" w:fill="FFFFFF"/>
        </w:rPr>
        <w:t>(12), 1458–1476. </w:t>
      </w:r>
      <w:hyperlink r:id="rId6" w:history="1">
        <w:r>
          <w:rPr>
            <w:rStyle w:val="Hyperlink"/>
            <w:color w:val="006ACC"/>
            <w:sz w:val="21"/>
            <w:szCs w:val="21"/>
            <w:shd w:val="clear" w:color="auto" w:fill="FFFFFF"/>
          </w:rPr>
          <w:t>https://doi.org/10.1177/1077801209347091</w:t>
        </w:r>
      </w:hyperlink>
    </w:p>
    <w:p w14:paraId="46CB87E7" w14:textId="77777777" w:rsidR="006711CB" w:rsidRDefault="006711CB" w:rsidP="006711CB">
      <w:pPr>
        <w:pStyle w:val="EndnoteText"/>
      </w:pPr>
    </w:p>
  </w:endnote>
  <w:endnote w:id="27">
    <w:p w14:paraId="092985C2" w14:textId="77777777" w:rsidR="006711CB" w:rsidRPr="00211AAE" w:rsidRDefault="006711CB" w:rsidP="006711CB">
      <w:pPr>
        <w:pStyle w:val="NormalWeb"/>
        <w:shd w:val="clear" w:color="auto" w:fill="FFFFFF"/>
        <w:spacing w:after="0"/>
        <w:textAlignment w:val="baseline"/>
        <w:rPr>
          <w:rFonts w:ascii="Times New Roman" w:hAnsi="Times New Roman"/>
          <w:color w:val="111111"/>
        </w:rPr>
      </w:pPr>
      <w:r>
        <w:rPr>
          <w:rStyle w:val="EndnoteReference"/>
        </w:rPr>
        <w:endnoteRef/>
      </w:r>
      <w:r>
        <w:t xml:space="preserve"> </w:t>
      </w:r>
      <w:r w:rsidRPr="00211AAE">
        <w:rPr>
          <w:rFonts w:ascii="Times New Roman" w:hAnsi="Times New Roman"/>
          <w:color w:val="111111"/>
        </w:rPr>
        <w:t xml:space="preserve">Walker, L.E.A., Cummings, D.M., &amp; Cummings, N. A. (Eds.). (2012). </w:t>
      </w:r>
      <w:r w:rsidRPr="00211AAE">
        <w:rPr>
          <w:rFonts w:ascii="Times New Roman" w:hAnsi="Times New Roman"/>
          <w:i/>
          <w:iCs/>
          <w:color w:val="111111"/>
        </w:rPr>
        <w:t>Our Broken Family Court System</w:t>
      </w:r>
      <w:r w:rsidRPr="00211AAE">
        <w:rPr>
          <w:rFonts w:ascii="Times New Roman" w:hAnsi="Times New Roman"/>
          <w:color w:val="111111"/>
        </w:rPr>
        <w:t>. Ithaca Press: NY. </w:t>
      </w:r>
    </w:p>
    <w:p w14:paraId="18FD18FA" w14:textId="77777777" w:rsidR="006711CB" w:rsidRDefault="006711CB" w:rsidP="006711CB">
      <w:pPr>
        <w:pStyle w:val="EndnoteText"/>
      </w:pPr>
    </w:p>
  </w:endnote>
  <w:endnote w:id="28">
    <w:p w14:paraId="40B3FCD2" w14:textId="77777777" w:rsidR="006711CB" w:rsidRDefault="006711CB" w:rsidP="006711CB">
      <w:pPr>
        <w:pStyle w:val="EndnoteText"/>
      </w:pPr>
      <w:r>
        <w:rPr>
          <w:rStyle w:val="EndnoteReference"/>
        </w:rPr>
        <w:endnoteRef/>
      </w:r>
      <w:r>
        <w:t xml:space="preserve"> </w:t>
      </w:r>
      <w:r>
        <w:rPr>
          <w:color w:val="222222"/>
          <w:shd w:val="clear" w:color="auto" w:fill="FFFFFF"/>
        </w:rPr>
        <w:t>Jeffries, S. (2016). In the Best Interests of the Abuser: Coercive Control, Child Custody Proceedings and the “Expert” Assessments That Guide Judicial Determinations. </w:t>
      </w:r>
      <w:r>
        <w:rPr>
          <w:i/>
          <w:iCs/>
          <w:color w:val="222222"/>
          <w:shd w:val="clear" w:color="auto" w:fill="FFFFFF"/>
        </w:rPr>
        <w:t>Laws</w:t>
      </w:r>
      <w:r>
        <w:rPr>
          <w:color w:val="222222"/>
          <w:shd w:val="clear" w:color="auto" w:fill="FFFFFF"/>
        </w:rPr>
        <w:t>, </w:t>
      </w:r>
      <w:r>
        <w:rPr>
          <w:i/>
          <w:iCs/>
          <w:color w:val="222222"/>
          <w:shd w:val="clear" w:color="auto" w:fill="FFFFFF"/>
        </w:rPr>
        <w:t>5</w:t>
      </w:r>
      <w:r>
        <w:rPr>
          <w:color w:val="222222"/>
          <w:shd w:val="clear" w:color="auto" w:fill="FFFFFF"/>
        </w:rPr>
        <w:t xml:space="preserve">(1), 14. MDPI AG. Retrieved from </w:t>
      </w:r>
      <w:hyperlink r:id="rId7" w:history="1">
        <w:r>
          <w:rPr>
            <w:rStyle w:val="Hyperlink"/>
            <w:shd w:val="clear" w:color="auto" w:fill="FFFFFF"/>
          </w:rPr>
          <w:t>http://dx.doi.org/10.3390/laws5010014</w:t>
        </w:r>
      </w:hyperlink>
    </w:p>
  </w:endnote>
  <w:endnote w:id="29">
    <w:p w14:paraId="53F6E180" w14:textId="77777777" w:rsidR="006711CB" w:rsidRDefault="006711CB" w:rsidP="006711CB">
      <w:pPr>
        <w:pStyle w:val="EndnoteText"/>
      </w:pPr>
      <w:r>
        <w:rPr>
          <w:rStyle w:val="EndnoteReference"/>
        </w:rPr>
        <w:endnoteRef/>
      </w:r>
      <w:r>
        <w:t xml:space="preserve"> </w:t>
      </w:r>
      <w:r>
        <w:rPr>
          <w:color w:val="000000"/>
        </w:rPr>
        <w:t xml:space="preserve">Saunders, D. G. (2015). Research based recommendations for child custody evaluation practices and policies in cases of intimate partner violence. </w:t>
      </w:r>
      <w:r>
        <w:rPr>
          <w:i/>
          <w:iCs/>
          <w:color w:val="000000"/>
        </w:rPr>
        <w:t>Journal of Child Custody, 12,</w:t>
      </w:r>
      <w:r>
        <w:rPr>
          <w:color w:val="000000"/>
        </w:rPr>
        <w:t xml:space="preserve"> 71-92. </w:t>
      </w:r>
      <w:proofErr w:type="spellStart"/>
      <w:r>
        <w:rPr>
          <w:color w:val="000000"/>
        </w:rPr>
        <w:t>doi</w:t>
      </w:r>
      <w:proofErr w:type="spellEnd"/>
      <w:r>
        <w:rPr>
          <w:color w:val="000000"/>
        </w:rPr>
        <w:t>: 10.1080/15379418.2015.1037052</w:t>
      </w:r>
    </w:p>
  </w:endnote>
  <w:endnote w:id="30">
    <w:p w14:paraId="4135C3D7" w14:textId="77777777" w:rsidR="006711CB" w:rsidRDefault="006711CB" w:rsidP="006711CB">
      <w:pPr>
        <w:pStyle w:val="EndnoteText"/>
      </w:pPr>
      <w:r>
        <w:rPr>
          <w:rStyle w:val="EndnoteReference"/>
        </w:rPr>
        <w:endnoteRef/>
      </w:r>
      <w:r>
        <w:t xml:space="preserve"> </w:t>
      </w:r>
      <w:r>
        <w:rPr>
          <w:rFonts w:cs="Calibri"/>
          <w:color w:val="1C1D1E"/>
        </w:rPr>
        <w:t xml:space="preserve">Katz, E. (2022). </w:t>
      </w:r>
      <w:r>
        <w:rPr>
          <w:rFonts w:cs="Calibri"/>
          <w:i/>
          <w:iCs/>
          <w:color w:val="000000"/>
        </w:rPr>
        <w:t>Coercive Control in Children’s and Mothers’ Lives.</w:t>
      </w:r>
      <w:r>
        <w:rPr>
          <w:rFonts w:cs="Calibri"/>
          <w:color w:val="000000"/>
        </w:rPr>
        <w:t xml:space="preserve"> Oxford University Press.</w:t>
      </w:r>
    </w:p>
  </w:endnote>
  <w:endnote w:id="31">
    <w:p w14:paraId="46A6EEDD" w14:textId="77777777" w:rsidR="006711CB" w:rsidRDefault="006711CB" w:rsidP="006711CB">
      <w:pPr>
        <w:pStyle w:val="EndnoteText"/>
      </w:pPr>
      <w:r>
        <w:rPr>
          <w:rStyle w:val="EndnoteReference"/>
        </w:rPr>
        <w:endnoteRef/>
      </w:r>
      <w:r>
        <w:t xml:space="preserve"> </w:t>
      </w:r>
      <w:r>
        <w:rPr>
          <w:rFonts w:ascii="Arial" w:hAnsi="Arial" w:cs="Arial"/>
          <w:color w:val="222222"/>
          <w:shd w:val="clear" w:color="auto" w:fill="FFFFFF"/>
        </w:rPr>
        <w:t xml:space="preserve">Brandt, S., &amp; </w:t>
      </w:r>
      <w:proofErr w:type="spellStart"/>
      <w:r>
        <w:rPr>
          <w:rFonts w:ascii="Arial" w:hAnsi="Arial" w:cs="Arial"/>
          <w:color w:val="222222"/>
          <w:shd w:val="clear" w:color="auto" w:fill="FFFFFF"/>
        </w:rPr>
        <w:t>Rudden</w:t>
      </w:r>
      <w:proofErr w:type="spellEnd"/>
      <w:r>
        <w:rPr>
          <w:rFonts w:ascii="Arial" w:hAnsi="Arial" w:cs="Arial"/>
          <w:color w:val="222222"/>
          <w:shd w:val="clear" w:color="auto" w:fill="FFFFFF"/>
        </w:rPr>
        <w:t xml:space="preserve">, M. (2020). A psychoanalytic perspective on victims of domestic violence and coercive control. </w:t>
      </w:r>
      <w:r>
        <w:rPr>
          <w:rFonts w:ascii="Arial" w:hAnsi="Arial" w:cs="Arial"/>
          <w:i/>
          <w:iCs/>
          <w:color w:val="222222"/>
          <w:shd w:val="clear" w:color="auto" w:fill="FFFFFF"/>
        </w:rPr>
        <w:t>International Journal of Applied Psychoanalytic Studies</w:t>
      </w:r>
      <w:r>
        <w:rPr>
          <w:rFonts w:ascii="Arial" w:hAnsi="Arial" w:cs="Arial"/>
          <w:color w:val="222222"/>
          <w:shd w:val="clear" w:color="auto" w:fill="FFFFFF"/>
        </w:rPr>
        <w:t xml:space="preserve">, </w:t>
      </w:r>
      <w:r>
        <w:rPr>
          <w:rFonts w:ascii="Arial" w:hAnsi="Arial" w:cs="Arial"/>
          <w:i/>
          <w:iCs/>
          <w:color w:val="222222"/>
          <w:shd w:val="clear" w:color="auto" w:fill="FFFFFF"/>
        </w:rPr>
        <w:t>17</w:t>
      </w:r>
      <w:r>
        <w:rPr>
          <w:rFonts w:ascii="Arial" w:hAnsi="Arial" w:cs="Arial"/>
          <w:color w:val="222222"/>
          <w:shd w:val="clear" w:color="auto" w:fill="FFFFFF"/>
        </w:rPr>
        <w:t>(3), 215-231.</w:t>
      </w:r>
    </w:p>
  </w:endnote>
  <w:endnote w:id="32">
    <w:p w14:paraId="0D26735F" w14:textId="77777777" w:rsidR="006711CB" w:rsidRDefault="006711CB" w:rsidP="006711CB">
      <w:pPr>
        <w:pStyle w:val="NormalWeb"/>
        <w:spacing w:after="0"/>
        <w:textAlignment w:val="baseline"/>
        <w:rPr>
          <w:rFonts w:ascii="Helvetica Neue" w:hAnsi="Helvetica Neue"/>
          <w:color w:val="222222"/>
          <w:sz w:val="22"/>
          <w:szCs w:val="22"/>
        </w:rPr>
      </w:pPr>
      <w:r>
        <w:rPr>
          <w:rStyle w:val="EndnoteReference"/>
        </w:rPr>
        <w:endnoteRef/>
      </w:r>
      <w:r>
        <w:t xml:space="preserve"> </w:t>
      </w:r>
      <w:r>
        <w:rPr>
          <w:rFonts w:ascii="Open Sans" w:hAnsi="Open Sans" w:cs="Open Sans"/>
          <w:color w:val="1C1D1E"/>
          <w:sz w:val="26"/>
          <w:szCs w:val="26"/>
          <w:shd w:val="clear" w:color="auto" w:fill="FFFFFF"/>
        </w:rPr>
        <w:t xml:space="preserve">Brandt, S. (2023). The myth of gender neutrality in family court: A clinician's perspective on determinations of “the best interest of the child”. </w:t>
      </w:r>
      <w:r>
        <w:rPr>
          <w:rFonts w:ascii="Open Sans" w:hAnsi="Open Sans" w:cs="Open Sans"/>
          <w:i/>
          <w:iCs/>
          <w:color w:val="1C1D1E"/>
          <w:sz w:val="26"/>
          <w:szCs w:val="26"/>
          <w:shd w:val="clear" w:color="auto" w:fill="FFFFFF"/>
        </w:rPr>
        <w:t>International Journal of Applied Psychoanalytic Studies</w:t>
      </w:r>
      <w:r>
        <w:rPr>
          <w:rFonts w:ascii="Open Sans" w:hAnsi="Open Sans" w:cs="Open Sans"/>
          <w:color w:val="1C1D1E"/>
          <w:sz w:val="26"/>
          <w:szCs w:val="26"/>
          <w:shd w:val="clear" w:color="auto" w:fill="FFFFFF"/>
        </w:rPr>
        <w:t xml:space="preserve">, 20(3), 403–434. </w:t>
      </w:r>
      <w:hyperlink r:id="rId8" w:history="1">
        <w:r>
          <w:rPr>
            <w:rStyle w:val="Hyperlink"/>
            <w:rFonts w:ascii="Open Sans" w:hAnsi="Open Sans" w:cs="Open Sans"/>
            <w:color w:val="1155CC"/>
            <w:sz w:val="26"/>
            <w:szCs w:val="26"/>
            <w:shd w:val="clear" w:color="auto" w:fill="FFFFFF"/>
          </w:rPr>
          <w:t>https://doi.org/10.1002/aps.1838</w:t>
        </w:r>
      </w:hyperlink>
    </w:p>
    <w:p w14:paraId="1724CA3F" w14:textId="77777777" w:rsidR="006711CB" w:rsidRDefault="006711CB" w:rsidP="006711CB">
      <w:pPr>
        <w:pStyle w:val="EndnoteText"/>
      </w:pPr>
    </w:p>
  </w:endnote>
  <w:endnote w:id="33">
    <w:p w14:paraId="796F9858" w14:textId="77777777" w:rsidR="006711CB" w:rsidRPr="00492A14" w:rsidRDefault="006711CB" w:rsidP="006711CB">
      <w:pPr>
        <w:pStyle w:val="NormalWeb"/>
        <w:spacing w:after="0"/>
        <w:textAlignment w:val="baseline"/>
        <w:rPr>
          <w:rFonts w:ascii="Times New Roman" w:hAnsi="Times New Roman"/>
          <w:i/>
          <w:iCs/>
          <w:color w:val="000000"/>
        </w:rPr>
      </w:pPr>
      <w:r>
        <w:rPr>
          <w:rStyle w:val="EndnoteReference"/>
        </w:rPr>
        <w:endnoteRef/>
      </w:r>
      <w:r>
        <w:t xml:space="preserve"> </w:t>
      </w:r>
      <w:r w:rsidRPr="00492A14">
        <w:rPr>
          <w:rFonts w:ascii="Times New Roman" w:hAnsi="Times New Roman"/>
          <w:color w:val="111111"/>
        </w:rPr>
        <w:t>Khaw, L., Bermea, A., Hardesty,</w:t>
      </w:r>
      <w:r>
        <w:rPr>
          <w:rFonts w:ascii="Times New Roman" w:hAnsi="Times New Roman"/>
          <w:color w:val="111111"/>
        </w:rPr>
        <w:t xml:space="preserve"> </w:t>
      </w:r>
      <w:r w:rsidRPr="00492A14">
        <w:rPr>
          <w:rFonts w:ascii="Times New Roman" w:hAnsi="Times New Roman"/>
          <w:color w:val="111111"/>
        </w:rPr>
        <w:t xml:space="preserve">J. L., Saunders, D. </w:t>
      </w:r>
      <w:proofErr w:type="gramStart"/>
      <w:r w:rsidRPr="00492A14">
        <w:rPr>
          <w:rFonts w:ascii="Times New Roman" w:hAnsi="Times New Roman"/>
          <w:color w:val="111111"/>
        </w:rPr>
        <w:t>&amp;  Whittaker</w:t>
      </w:r>
      <w:proofErr w:type="gramEnd"/>
      <w:r w:rsidRPr="00492A14">
        <w:rPr>
          <w:rFonts w:ascii="Times New Roman" w:hAnsi="Times New Roman"/>
          <w:color w:val="111111"/>
        </w:rPr>
        <w:t xml:space="preserve">, A. M. </w:t>
      </w:r>
      <w:r w:rsidRPr="00492A14">
        <w:rPr>
          <w:rFonts w:ascii="Times New Roman" w:hAnsi="Times New Roman"/>
          <w:color w:val="000000"/>
        </w:rPr>
        <w:t xml:space="preserve">(2018). </w:t>
      </w:r>
      <w:r w:rsidRPr="00492A14">
        <w:rPr>
          <w:rFonts w:ascii="Times New Roman" w:hAnsi="Times New Roman"/>
          <w:color w:val="111111"/>
        </w:rPr>
        <w:t>“The System Had Choked Me Too”: Abused Mothers’ Perceptions of the Custody Determination Process That Resulted in Negative Custody Outcomes.</w:t>
      </w:r>
      <w:r w:rsidRPr="00492A14">
        <w:rPr>
          <w:rFonts w:ascii="Times New Roman" w:hAnsi="Times New Roman"/>
          <w:color w:val="777777"/>
        </w:rPr>
        <w:t xml:space="preserve"> </w:t>
      </w:r>
      <w:r w:rsidRPr="00492A14">
        <w:rPr>
          <w:rFonts w:ascii="Times New Roman" w:hAnsi="Times New Roman"/>
          <w:i/>
          <w:iCs/>
          <w:color w:val="000000"/>
        </w:rPr>
        <w:t>Journal of Interpersonal Violence</w:t>
      </w:r>
      <w:r w:rsidRPr="00492A14">
        <w:rPr>
          <w:rFonts w:ascii="Times New Roman" w:hAnsi="Times New Roman"/>
          <w:color w:val="000000"/>
        </w:rPr>
        <w:t xml:space="preserve"> 1-25. DOI: 10.1177/0886260518791226.</w:t>
      </w:r>
    </w:p>
    <w:p w14:paraId="4934506B" w14:textId="77777777" w:rsidR="006711CB" w:rsidRDefault="006711CB" w:rsidP="006711CB">
      <w:pPr>
        <w:pStyle w:val="EndnoteText"/>
      </w:pPr>
    </w:p>
  </w:endnote>
  <w:endnote w:id="34">
    <w:p w14:paraId="76FDFACD" w14:textId="77777777" w:rsidR="006711CB" w:rsidRPr="00492A14" w:rsidRDefault="006711CB" w:rsidP="006711CB">
      <w:pPr>
        <w:pStyle w:val="NormalWeb"/>
        <w:shd w:val="clear" w:color="auto" w:fill="FFFFFF"/>
        <w:spacing w:after="0"/>
        <w:textAlignment w:val="baseline"/>
        <w:rPr>
          <w:rFonts w:ascii="Times New Roman" w:hAnsi="Times New Roman"/>
          <w:color w:val="000000"/>
        </w:rPr>
      </w:pPr>
      <w:r>
        <w:rPr>
          <w:rStyle w:val="EndnoteReference"/>
        </w:rPr>
        <w:endnoteRef/>
      </w:r>
      <w:r>
        <w:t xml:space="preserve"> </w:t>
      </w:r>
      <w:r w:rsidRPr="00492A14">
        <w:rPr>
          <w:rFonts w:ascii="Times New Roman" w:hAnsi="Times New Roman"/>
          <w:color w:val="222222"/>
          <w:shd w:val="clear" w:color="auto" w:fill="FFFFFF"/>
        </w:rPr>
        <w:t>Fischel</w:t>
      </w:r>
      <w:r w:rsidRPr="00492A14">
        <w:rPr>
          <w:rFonts w:ascii="Cambria Math" w:hAnsi="Cambria Math"/>
          <w:color w:val="222222"/>
          <w:shd w:val="clear" w:color="auto" w:fill="FFFFFF"/>
        </w:rPr>
        <w:t>‐</w:t>
      </w:r>
      <w:proofErr w:type="spellStart"/>
      <w:r w:rsidRPr="00492A14">
        <w:rPr>
          <w:rFonts w:ascii="Times New Roman" w:hAnsi="Times New Roman"/>
          <w:color w:val="222222"/>
          <w:shd w:val="clear" w:color="auto" w:fill="FFFFFF"/>
        </w:rPr>
        <w:t>Wolovick</w:t>
      </w:r>
      <w:proofErr w:type="spellEnd"/>
      <w:r w:rsidRPr="00492A14">
        <w:rPr>
          <w:rFonts w:ascii="Times New Roman" w:hAnsi="Times New Roman"/>
          <w:color w:val="222222"/>
          <w:shd w:val="clear" w:color="auto" w:fill="FFFFFF"/>
        </w:rPr>
        <w:t>, L. (2020). Battered mothers and children in the courts: A lawyer's view. </w:t>
      </w:r>
      <w:r w:rsidRPr="00492A14">
        <w:rPr>
          <w:rFonts w:ascii="Times New Roman" w:hAnsi="Times New Roman"/>
          <w:i/>
          <w:iCs/>
          <w:color w:val="222222"/>
          <w:shd w:val="clear" w:color="auto" w:fill="FFFFFF"/>
        </w:rPr>
        <w:t>International Journal of Applied Psychoanalytic Studies</w:t>
      </w:r>
      <w:r w:rsidRPr="00492A14">
        <w:rPr>
          <w:rFonts w:ascii="Times New Roman" w:hAnsi="Times New Roman"/>
          <w:color w:val="222222"/>
          <w:shd w:val="clear" w:color="auto" w:fill="FFFFFF"/>
        </w:rPr>
        <w:t>, </w:t>
      </w:r>
      <w:r w:rsidRPr="00492A14">
        <w:rPr>
          <w:rFonts w:ascii="Times New Roman" w:hAnsi="Times New Roman"/>
          <w:i/>
          <w:iCs/>
          <w:color w:val="222222"/>
          <w:shd w:val="clear" w:color="auto" w:fill="FFFFFF"/>
        </w:rPr>
        <w:t>17</w:t>
      </w:r>
      <w:r w:rsidRPr="00492A14">
        <w:rPr>
          <w:rFonts w:ascii="Times New Roman" w:hAnsi="Times New Roman"/>
          <w:color w:val="222222"/>
          <w:shd w:val="clear" w:color="auto" w:fill="FFFFFF"/>
        </w:rPr>
        <w:t>(3), 246-261.</w:t>
      </w:r>
    </w:p>
    <w:p w14:paraId="088B73D3" w14:textId="77777777" w:rsidR="006711CB" w:rsidRDefault="006711CB" w:rsidP="006711CB">
      <w:pPr>
        <w:pStyle w:val="EndnoteText"/>
      </w:pPr>
    </w:p>
  </w:endnote>
  <w:endnote w:id="35">
    <w:p w14:paraId="68E7281D" w14:textId="77777777" w:rsidR="006711CB" w:rsidRPr="00F22EA6" w:rsidRDefault="006711CB" w:rsidP="006711CB">
      <w:pPr>
        <w:pStyle w:val="NormalWeb"/>
        <w:shd w:val="clear" w:color="auto" w:fill="FFFFFF"/>
        <w:spacing w:after="0"/>
        <w:textAlignment w:val="baseline"/>
        <w:rPr>
          <w:rFonts w:ascii="Times New Roman" w:hAnsi="Times New Roman"/>
          <w:color w:val="000000"/>
        </w:rPr>
      </w:pPr>
      <w:r>
        <w:rPr>
          <w:rStyle w:val="EndnoteReference"/>
        </w:rPr>
        <w:endnoteRef/>
      </w:r>
      <w:r>
        <w:t xml:space="preserve"> </w:t>
      </w:r>
      <w:r w:rsidRPr="00F22EA6">
        <w:rPr>
          <w:rFonts w:ascii="Times New Roman" w:hAnsi="Times New Roman"/>
          <w:color w:val="222222"/>
          <w:shd w:val="clear" w:color="auto" w:fill="FFFFFF"/>
        </w:rPr>
        <w:t>Fischel</w:t>
      </w:r>
      <w:r w:rsidRPr="00F22EA6">
        <w:rPr>
          <w:rFonts w:ascii="Cambria Math" w:hAnsi="Cambria Math"/>
          <w:color w:val="222222"/>
          <w:shd w:val="clear" w:color="auto" w:fill="FFFFFF"/>
        </w:rPr>
        <w:t>‐</w:t>
      </w:r>
      <w:proofErr w:type="spellStart"/>
      <w:r w:rsidRPr="00F22EA6">
        <w:rPr>
          <w:rFonts w:ascii="Times New Roman" w:hAnsi="Times New Roman"/>
          <w:color w:val="222222"/>
          <w:shd w:val="clear" w:color="auto" w:fill="FFFFFF"/>
        </w:rPr>
        <w:t>Wolovick</w:t>
      </w:r>
      <w:proofErr w:type="spellEnd"/>
      <w:r w:rsidRPr="00F22EA6">
        <w:rPr>
          <w:rFonts w:ascii="Times New Roman" w:hAnsi="Times New Roman"/>
          <w:color w:val="222222"/>
          <w:shd w:val="clear" w:color="auto" w:fill="FFFFFF"/>
        </w:rPr>
        <w:t>, L. (2020). Battered mothers and children in the courts: A lawyer's view. </w:t>
      </w:r>
      <w:r w:rsidRPr="00F22EA6">
        <w:rPr>
          <w:rFonts w:ascii="Times New Roman" w:hAnsi="Times New Roman"/>
          <w:i/>
          <w:iCs/>
          <w:color w:val="222222"/>
          <w:shd w:val="clear" w:color="auto" w:fill="FFFFFF"/>
        </w:rPr>
        <w:t>International Journal of Applied Psychoanalytic Studies</w:t>
      </w:r>
      <w:r w:rsidRPr="00F22EA6">
        <w:rPr>
          <w:rFonts w:ascii="Times New Roman" w:hAnsi="Times New Roman"/>
          <w:color w:val="222222"/>
          <w:shd w:val="clear" w:color="auto" w:fill="FFFFFF"/>
        </w:rPr>
        <w:t>, </w:t>
      </w:r>
      <w:r w:rsidRPr="00F22EA6">
        <w:rPr>
          <w:rFonts w:ascii="Times New Roman" w:hAnsi="Times New Roman"/>
          <w:i/>
          <w:iCs/>
          <w:color w:val="222222"/>
          <w:shd w:val="clear" w:color="auto" w:fill="FFFFFF"/>
        </w:rPr>
        <w:t>17</w:t>
      </w:r>
      <w:r w:rsidRPr="00F22EA6">
        <w:rPr>
          <w:rFonts w:ascii="Times New Roman" w:hAnsi="Times New Roman"/>
          <w:color w:val="222222"/>
          <w:shd w:val="clear" w:color="auto" w:fill="FFFFFF"/>
        </w:rPr>
        <w:t>(3), 246-261.</w:t>
      </w:r>
    </w:p>
    <w:p w14:paraId="06FABECC" w14:textId="77777777" w:rsidR="006711CB" w:rsidRDefault="006711CB" w:rsidP="006711CB">
      <w:pPr>
        <w:pStyle w:val="EndnoteText"/>
      </w:pPr>
    </w:p>
  </w:endnote>
  <w:endnote w:id="36">
    <w:p w14:paraId="5C765EEA" w14:textId="77777777" w:rsidR="006711CB" w:rsidRDefault="006711CB" w:rsidP="006711CB">
      <w:pPr>
        <w:pStyle w:val="EndnoteText"/>
      </w:pPr>
      <w:r>
        <w:rPr>
          <w:rStyle w:val="EndnoteReference"/>
        </w:rPr>
        <w:endnoteRef/>
      </w:r>
      <w:r>
        <w:t xml:space="preserve"> Wingfield, D. (2011). Observed behavior or reported directly to author.</w:t>
      </w:r>
    </w:p>
    <w:p w14:paraId="442429CC" w14:textId="77777777" w:rsidR="006711CB" w:rsidRDefault="006711CB" w:rsidP="006711CB">
      <w:pPr>
        <w:pStyle w:val="EndnoteText"/>
      </w:pPr>
    </w:p>
  </w:endnote>
  <w:endnote w:id="37">
    <w:p w14:paraId="3A645B70" w14:textId="77777777" w:rsidR="006711CB" w:rsidRDefault="006711CB" w:rsidP="006711CB">
      <w:pPr>
        <w:pStyle w:val="EndnoteText"/>
      </w:pPr>
      <w:r>
        <w:rPr>
          <w:rStyle w:val="EndnoteReference"/>
        </w:rPr>
        <w:endnoteRef/>
      </w:r>
      <w:r>
        <w:t xml:space="preserve"> </w:t>
      </w:r>
      <w:r>
        <w:rPr>
          <w:rFonts w:ascii="Arial" w:hAnsi="Arial" w:cs="Arial"/>
          <w:color w:val="222222"/>
          <w:shd w:val="clear" w:color="auto" w:fill="FFFFFF"/>
        </w:rPr>
        <w:t xml:space="preserve">Saunders, D. G. (2019, September 1). </w:t>
      </w:r>
      <w:r>
        <w:rPr>
          <w:rFonts w:ascii="Arial" w:hAnsi="Arial" w:cs="Arial"/>
          <w:i/>
          <w:iCs/>
          <w:color w:val="222222"/>
          <w:shd w:val="clear" w:color="auto" w:fill="FFFFFF"/>
        </w:rPr>
        <w:t>Custody and visitation decisions in cases of intimate partner violence: Evidence of major problems and promising solutions</w:t>
      </w:r>
      <w:r>
        <w:rPr>
          <w:rFonts w:ascii="Arial" w:hAnsi="Arial" w:cs="Arial"/>
          <w:color w:val="222222"/>
          <w:shd w:val="clear" w:color="auto" w:fill="FFFFFF"/>
        </w:rPr>
        <w:t xml:space="preserve">. Retrieved from </w:t>
      </w:r>
      <w:hyperlink r:id="rId9" w:history="1">
        <w:r>
          <w:rPr>
            <w:rStyle w:val="Hyperlink"/>
            <w:rFonts w:ascii="Arial" w:hAnsi="Arial" w:cs="Arial"/>
            <w:color w:val="1155CC"/>
            <w:shd w:val="clear" w:color="auto" w:fill="FFFFFF"/>
          </w:rPr>
          <w:t>https://www.researchgate.net/profile/Daniel-Saunders/publication/346273346_Custody_and_Visitation_Decisions_in_Cases_of_Intimate_Partner_Violence_Evidence_of_Major_Problems_and_Promising_Solutions_Testimony_before_the_State_of_Maryland_Workgroup_to_Study_Child_Custody_Court_/links/5fbd64bf92851c933f5767aa/Custody-and-Visitation-Decisions-in-Cases-of-Intimate-Partner-Violence-Evidence-of-Major-Problems-and-Promising-Solutions-Testimony-before-the-State-of-Maryland-Workgroup-to-Study-Child-Custody-Court.pdf</w:t>
        </w:r>
      </w:hyperlink>
      <w:r>
        <w:rPr>
          <w:rFonts w:ascii="Arial" w:hAnsi="Arial" w:cs="Arial"/>
          <w:color w:val="222222"/>
          <w:shd w:val="clear" w:color="auto" w:fill="FFFFFF"/>
        </w:rPr>
        <w:t> </w:t>
      </w:r>
    </w:p>
  </w:endnote>
  <w:endnote w:id="38">
    <w:p w14:paraId="3714B9D8" w14:textId="77777777" w:rsidR="006711CB" w:rsidRDefault="006711CB" w:rsidP="006711CB">
      <w:pPr>
        <w:pStyle w:val="EndnoteText"/>
      </w:pPr>
      <w:r>
        <w:rPr>
          <w:rStyle w:val="EndnoteReference"/>
        </w:rPr>
        <w:endnoteRef/>
      </w:r>
      <w:r>
        <w:t xml:space="preserve"> </w:t>
      </w:r>
      <w:r>
        <w:rPr>
          <w:color w:val="111111"/>
        </w:rPr>
        <w:t xml:space="preserve">Walker, L.E.A., Cummings, D.M., &amp; Cummings, N. A. (Eds.). (2012). </w:t>
      </w:r>
      <w:r>
        <w:rPr>
          <w:i/>
          <w:iCs/>
          <w:color w:val="111111"/>
        </w:rPr>
        <w:t>Our Broken Family Court System</w:t>
      </w:r>
      <w:r>
        <w:rPr>
          <w:color w:val="111111"/>
        </w:rPr>
        <w:t>. Ithaca Press: NY.</w:t>
      </w:r>
    </w:p>
  </w:endnote>
  <w:endnote w:id="39">
    <w:p w14:paraId="312A6B5C" w14:textId="77777777" w:rsidR="006711CB" w:rsidRDefault="006711CB" w:rsidP="006711CB">
      <w:pPr>
        <w:pStyle w:val="EndnoteText"/>
      </w:pPr>
      <w:r>
        <w:rPr>
          <w:rStyle w:val="EndnoteReference"/>
        </w:rPr>
        <w:endnoteRef/>
      </w:r>
      <w:r>
        <w:t xml:space="preserve"> </w:t>
      </w:r>
      <w:r>
        <w:rPr>
          <w:color w:val="111111"/>
        </w:rPr>
        <w:t xml:space="preserve">Walker, L.E.A., Cummings, D.M., &amp; Cummings, N. A. (Eds.). (2012). </w:t>
      </w:r>
      <w:r>
        <w:rPr>
          <w:i/>
          <w:iCs/>
          <w:color w:val="111111"/>
        </w:rPr>
        <w:t>Our Broken Family Court System</w:t>
      </w:r>
      <w:r>
        <w:rPr>
          <w:color w:val="111111"/>
        </w:rPr>
        <w:t>. Ithaca Press: NY.</w:t>
      </w:r>
    </w:p>
  </w:endnote>
  <w:endnote w:id="40">
    <w:p w14:paraId="436584BC" w14:textId="77777777" w:rsidR="006711CB" w:rsidRDefault="006711CB" w:rsidP="006711CB">
      <w:pPr>
        <w:pStyle w:val="NormalWeb"/>
        <w:shd w:val="clear" w:color="auto" w:fill="FFFFFF"/>
        <w:spacing w:after="0"/>
        <w:textAlignment w:val="baseline"/>
        <w:rPr>
          <w:color w:val="000000"/>
        </w:rPr>
      </w:pPr>
      <w:r>
        <w:rPr>
          <w:rStyle w:val="EndnoteReference"/>
        </w:rPr>
        <w:endnoteRef/>
      </w:r>
      <w:r>
        <w:t xml:space="preserve"> </w:t>
      </w:r>
      <w:r>
        <w:rPr>
          <w:color w:val="212121"/>
          <w:shd w:val="clear" w:color="auto" w:fill="FFFFFF"/>
        </w:rPr>
        <w:t xml:space="preserve">Woods, A. B., Page, G. G., </w:t>
      </w:r>
      <w:proofErr w:type="spellStart"/>
      <w:r>
        <w:rPr>
          <w:color w:val="212121"/>
          <w:shd w:val="clear" w:color="auto" w:fill="FFFFFF"/>
        </w:rPr>
        <w:t>O'Campo</w:t>
      </w:r>
      <w:proofErr w:type="spellEnd"/>
      <w:r>
        <w:rPr>
          <w:color w:val="212121"/>
          <w:shd w:val="clear" w:color="auto" w:fill="FFFFFF"/>
        </w:rPr>
        <w:t>, P., Pugh, L. C., Ford, D., &amp; Campbell, J. C. (2005). The mediation effect of posttraumatic stress disorder symptoms on the relationship of intimate partner violence and IFN-gamma levels. </w:t>
      </w:r>
      <w:r>
        <w:rPr>
          <w:i/>
          <w:iCs/>
          <w:color w:val="212121"/>
          <w:shd w:val="clear" w:color="auto" w:fill="FFFFFF"/>
        </w:rPr>
        <w:t>American journal of community psychology</w:t>
      </w:r>
      <w:r>
        <w:rPr>
          <w:color w:val="212121"/>
          <w:shd w:val="clear" w:color="auto" w:fill="FFFFFF"/>
        </w:rPr>
        <w:t>, </w:t>
      </w:r>
      <w:r>
        <w:rPr>
          <w:i/>
          <w:iCs/>
          <w:color w:val="212121"/>
          <w:shd w:val="clear" w:color="auto" w:fill="FFFFFF"/>
        </w:rPr>
        <w:t>36</w:t>
      </w:r>
      <w:r>
        <w:rPr>
          <w:color w:val="212121"/>
          <w:shd w:val="clear" w:color="auto" w:fill="FFFFFF"/>
        </w:rPr>
        <w:t xml:space="preserve">(1-2), 159–175. </w:t>
      </w:r>
      <w:hyperlink r:id="rId10" w:history="1">
        <w:r>
          <w:rPr>
            <w:rStyle w:val="Hyperlink"/>
            <w:shd w:val="clear" w:color="auto" w:fill="FFFFFF"/>
          </w:rPr>
          <w:t>https://doi.org/10.1007/s10464-005-6240-7</w:t>
        </w:r>
      </w:hyperlink>
    </w:p>
    <w:p w14:paraId="28A1F1BF" w14:textId="77777777" w:rsidR="006711CB" w:rsidRDefault="006711CB" w:rsidP="006711CB">
      <w:pPr>
        <w:pStyle w:val="EndnoteText"/>
      </w:pPr>
    </w:p>
  </w:endnote>
  <w:endnote w:id="41">
    <w:p w14:paraId="67C3F0DE" w14:textId="77777777" w:rsidR="006711CB" w:rsidRDefault="006711CB" w:rsidP="006711CB">
      <w:pPr>
        <w:pStyle w:val="EndnoteText"/>
      </w:pPr>
      <w:r>
        <w:rPr>
          <w:rStyle w:val="EndnoteReference"/>
        </w:rPr>
        <w:endnoteRef/>
      </w:r>
      <w:r>
        <w:t xml:space="preserve"> </w:t>
      </w:r>
      <w:r>
        <w:rPr>
          <w:color w:val="212121"/>
          <w:shd w:val="clear" w:color="auto" w:fill="FFFFFF"/>
        </w:rPr>
        <w:t xml:space="preserve">Dunlap, J. (2014). The ‘Pitiless Double Abuse’ of Battered Mothers. </w:t>
      </w:r>
      <w:r>
        <w:rPr>
          <w:i/>
          <w:iCs/>
          <w:color w:val="212121"/>
          <w:shd w:val="clear" w:color="auto" w:fill="FFFFFF"/>
        </w:rPr>
        <w:t>SSRN Electronic Journal</w:t>
      </w:r>
      <w:r>
        <w:rPr>
          <w:color w:val="212121"/>
          <w:shd w:val="clear" w:color="auto" w:fill="FFFFFF"/>
        </w:rPr>
        <w:t>. DOI: 10.2139/ssrn.2455806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default"/>
  </w:font>
  <w:font w:name="Roboto">
    <w:panose1 w:val="02000000000000000000"/>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CD207" w14:textId="77777777" w:rsidR="00474886" w:rsidRDefault="00474886" w:rsidP="006711CB">
      <w:r>
        <w:separator/>
      </w:r>
    </w:p>
  </w:footnote>
  <w:footnote w:type="continuationSeparator" w:id="0">
    <w:p w14:paraId="08FAD00F" w14:textId="77777777" w:rsidR="00474886" w:rsidRDefault="00474886" w:rsidP="006711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MxNTWyNDYwMja3NDVV0lEKTi0uzszPAykwrAUAaDfsJSwAAAA="/>
  </w:docVars>
  <w:rsids>
    <w:rsidRoot w:val="006711CB"/>
    <w:rsid w:val="002C09D7"/>
    <w:rsid w:val="003317EE"/>
    <w:rsid w:val="00474886"/>
    <w:rsid w:val="004770A5"/>
    <w:rsid w:val="004A64BF"/>
    <w:rsid w:val="006711CB"/>
    <w:rsid w:val="007D0138"/>
    <w:rsid w:val="00854ADE"/>
    <w:rsid w:val="00B16BCF"/>
    <w:rsid w:val="00B551FD"/>
    <w:rsid w:val="00BC0173"/>
    <w:rsid w:val="00C329BA"/>
    <w:rsid w:val="00DD11A6"/>
    <w:rsid w:val="00E037BB"/>
    <w:rsid w:val="00EB4F5D"/>
    <w:rsid w:val="00ED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D60D4"/>
  <w15:chartTrackingRefBased/>
  <w15:docId w15:val="{9ABBEFA0-5868-486B-A131-CC1D9E4A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1CB"/>
    <w:pPr>
      <w:spacing w:line="240" w:lineRule="auto"/>
      <w:jc w:val="left"/>
    </w:pPr>
    <w:rPr>
      <w:rFonts w:ascii="Palatino Linotype" w:hAnsi="Palatino Linotype"/>
      <w:kern w:val="0"/>
      <w:sz w:val="22"/>
      <w14:ligatures w14:val="none"/>
    </w:rPr>
  </w:style>
  <w:style w:type="paragraph" w:styleId="Heading1">
    <w:name w:val="heading 1"/>
    <w:next w:val="BodyText"/>
    <w:link w:val="Heading1Char"/>
    <w:qFormat/>
    <w:rsid w:val="00B551FD"/>
    <w:pPr>
      <w:keepNext/>
      <w:keepLines/>
      <w:widowControl w:val="0"/>
      <w:spacing w:after="200" w:line="240" w:lineRule="auto"/>
      <w:jc w:val="left"/>
      <w:outlineLvl w:val="0"/>
    </w:pPr>
    <w:rPr>
      <w:rFonts w:ascii="Arial" w:eastAsia="Arial Unicode MS" w:hAnsi="Arial"/>
      <w:b/>
      <w:kern w:val="28"/>
      <w:sz w:val="28"/>
      <w:lang w:val="en-AU"/>
      <w14:ligatures w14:val="none"/>
    </w:rPr>
  </w:style>
  <w:style w:type="paragraph" w:styleId="Heading2">
    <w:name w:val="heading 2"/>
    <w:basedOn w:val="Heading1"/>
    <w:next w:val="BodyText"/>
    <w:link w:val="Heading2Char"/>
    <w:qFormat/>
    <w:rsid w:val="00C329BA"/>
    <w:pPr>
      <w:pBdr>
        <w:top w:val="single" w:sz="24" w:space="1" w:color="C0C0C0"/>
      </w:pBdr>
      <w:outlineLvl w:val="1"/>
    </w:pPr>
    <w:rPr>
      <w:b w:val="0"/>
    </w:rPr>
  </w:style>
  <w:style w:type="paragraph" w:styleId="Heading3">
    <w:name w:val="heading 3"/>
    <w:basedOn w:val="Heading2"/>
    <w:next w:val="BodyText"/>
    <w:link w:val="Heading3Char"/>
    <w:qFormat/>
    <w:rsid w:val="00BC0173"/>
    <w:pPr>
      <w:pBdr>
        <w:top w:val="none" w:sz="0" w:space="0" w:color="auto"/>
      </w:pBdr>
      <w:spacing w:after="0" w:line="288" w:lineRule="auto"/>
      <w:outlineLvl w:val="2"/>
    </w:pPr>
    <w:rPr>
      <w:b/>
      <w:sz w:val="22"/>
    </w:rPr>
  </w:style>
  <w:style w:type="paragraph" w:styleId="Heading4">
    <w:name w:val="heading 4"/>
    <w:basedOn w:val="Heading3"/>
    <w:next w:val="BodyText"/>
    <w:link w:val="Heading4Char"/>
    <w:qFormat/>
    <w:rsid w:val="00B551FD"/>
    <w:pPr>
      <w:outlineLvl w:val="3"/>
    </w:pPr>
  </w:style>
  <w:style w:type="paragraph" w:styleId="Heading5">
    <w:name w:val="heading 5"/>
    <w:basedOn w:val="Normal"/>
    <w:next w:val="Normal"/>
    <w:link w:val="Heading5Char"/>
    <w:uiPriority w:val="9"/>
    <w:semiHidden/>
    <w:unhideWhenUsed/>
    <w:qFormat/>
    <w:rsid w:val="006711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11C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11C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11C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11C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Chapter Title"/>
    <w:basedOn w:val="Normal"/>
    <w:next w:val="Normal"/>
    <w:link w:val="SubtitleChar"/>
    <w:uiPriority w:val="11"/>
    <w:qFormat/>
    <w:rsid w:val="007D0138"/>
    <w:pPr>
      <w:numPr>
        <w:ilvl w:val="1"/>
      </w:numPr>
      <w:spacing w:after="120"/>
    </w:pPr>
    <w:rPr>
      <w:rFonts w:ascii="Arial" w:eastAsiaTheme="majorEastAsia" w:hAnsi="Arial" w:cstheme="majorBidi"/>
      <w:kern w:val="2"/>
      <w:sz w:val="24"/>
      <w:szCs w:val="24"/>
      <w14:ligatures w14:val="standardContextual"/>
    </w:rPr>
  </w:style>
  <w:style w:type="character" w:customStyle="1" w:styleId="SubtitleChar">
    <w:name w:val="Subtitle Char"/>
    <w:aliases w:val="Chapter Title Char"/>
    <w:basedOn w:val="DefaultParagraphFont"/>
    <w:link w:val="Subtitle"/>
    <w:uiPriority w:val="11"/>
    <w:rsid w:val="007D0138"/>
    <w:rPr>
      <w:rFonts w:ascii="Arial" w:eastAsiaTheme="majorEastAsia" w:hAnsi="Arial" w:cstheme="majorBidi"/>
      <w:sz w:val="24"/>
      <w:szCs w:val="24"/>
    </w:rPr>
  </w:style>
  <w:style w:type="paragraph" w:styleId="Title">
    <w:name w:val="Title"/>
    <w:basedOn w:val="Normal"/>
    <w:next w:val="Normal"/>
    <w:link w:val="TitleChar"/>
    <w:uiPriority w:val="10"/>
    <w:qFormat/>
    <w:rsid w:val="00854A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ADE"/>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rsid w:val="00BC0173"/>
    <w:rPr>
      <w:rFonts w:ascii="Arial" w:eastAsia="Arial Unicode MS" w:hAnsi="Arial"/>
      <w:b/>
      <w:kern w:val="28"/>
      <w:sz w:val="22"/>
      <w:lang w:val="en-AU"/>
      <w14:ligatures w14:val="none"/>
    </w:rPr>
  </w:style>
  <w:style w:type="character" w:customStyle="1" w:styleId="Heading2Char">
    <w:name w:val="Heading 2 Char"/>
    <w:basedOn w:val="DefaultParagraphFont"/>
    <w:link w:val="Heading2"/>
    <w:rsid w:val="00C329BA"/>
    <w:rPr>
      <w:rFonts w:ascii="Arial" w:eastAsia="Arial Unicode MS" w:hAnsi="Arial"/>
      <w:b/>
      <w:kern w:val="28"/>
      <w:sz w:val="28"/>
      <w:lang w:val="en-AU"/>
      <w14:ligatures w14:val="none"/>
    </w:rPr>
  </w:style>
  <w:style w:type="paragraph" w:styleId="BodyText">
    <w:name w:val="Body Text"/>
    <w:basedOn w:val="Normal"/>
    <w:link w:val="BodyTextChar"/>
    <w:uiPriority w:val="99"/>
    <w:semiHidden/>
    <w:unhideWhenUsed/>
    <w:rsid w:val="00854ADE"/>
    <w:pPr>
      <w:spacing w:after="120"/>
    </w:pPr>
  </w:style>
  <w:style w:type="character" w:customStyle="1" w:styleId="BodyTextChar">
    <w:name w:val="Body Text Char"/>
    <w:basedOn w:val="DefaultParagraphFont"/>
    <w:link w:val="BodyText"/>
    <w:uiPriority w:val="99"/>
    <w:semiHidden/>
    <w:rsid w:val="00854ADE"/>
  </w:style>
  <w:style w:type="character" w:styleId="SubtleEmphasis">
    <w:name w:val="Subtle Emphasis"/>
    <w:basedOn w:val="DefaultParagraphFont"/>
    <w:uiPriority w:val="19"/>
    <w:qFormat/>
    <w:rsid w:val="004770A5"/>
    <w:rPr>
      <w:rFonts w:ascii="Arial" w:hAnsi="Arial"/>
      <w:i w:val="0"/>
      <w:iCs/>
      <w:color w:val="404040" w:themeColor="text1" w:themeTint="BF"/>
      <w:sz w:val="24"/>
    </w:rPr>
  </w:style>
  <w:style w:type="paragraph" w:customStyle="1" w:styleId="Paragraph">
    <w:name w:val="Paragraph"/>
    <w:basedOn w:val="Normal"/>
    <w:link w:val="ParagraphChar"/>
    <w:qFormat/>
    <w:rsid w:val="007D0138"/>
    <w:pPr>
      <w:keepLines/>
      <w:widowControl w:val="0"/>
    </w:pPr>
    <w:rPr>
      <w:rFonts w:eastAsiaTheme="minorHAnsi" w:cs="Arial"/>
      <w:kern w:val="2"/>
      <w:szCs w:val="22"/>
      <w14:ligatures w14:val="standardContextual"/>
    </w:rPr>
  </w:style>
  <w:style w:type="character" w:customStyle="1" w:styleId="ParagraphChar">
    <w:name w:val="Paragraph Char"/>
    <w:basedOn w:val="DefaultParagraphFont"/>
    <w:link w:val="Paragraph"/>
    <w:rsid w:val="007D0138"/>
    <w:rPr>
      <w:rFonts w:ascii="Palatino Linotype" w:hAnsi="Palatino Linotype" w:cs="Arial"/>
      <w:sz w:val="22"/>
      <w:szCs w:val="22"/>
    </w:rPr>
  </w:style>
  <w:style w:type="paragraph" w:styleId="ListParagraph">
    <w:name w:val="List Paragraph"/>
    <w:basedOn w:val="Normal"/>
    <w:uiPriority w:val="34"/>
    <w:qFormat/>
    <w:rsid w:val="00B551FD"/>
    <w:pPr>
      <w:spacing w:line="288" w:lineRule="auto"/>
      <w:contextualSpacing/>
      <w:jc w:val="both"/>
    </w:pPr>
    <w:rPr>
      <w:rFonts w:cs="Courier New"/>
      <w:b/>
      <w:szCs w:val="24"/>
    </w:rPr>
  </w:style>
  <w:style w:type="character" w:customStyle="1" w:styleId="Heading4Char">
    <w:name w:val="Heading 4 Char"/>
    <w:basedOn w:val="DefaultParagraphFont"/>
    <w:link w:val="Heading4"/>
    <w:rsid w:val="00B551FD"/>
    <w:rPr>
      <w:rFonts w:ascii="Arial" w:eastAsia="Arial Unicode MS" w:hAnsi="Arial"/>
      <w:b/>
      <w:kern w:val="28"/>
      <w:sz w:val="22"/>
      <w:lang w:val="en-AU"/>
      <w14:ligatures w14:val="none"/>
    </w:rPr>
  </w:style>
  <w:style w:type="character" w:styleId="Strong">
    <w:name w:val="Strong"/>
    <w:basedOn w:val="DefaultParagraphFont"/>
    <w:uiPriority w:val="22"/>
    <w:qFormat/>
    <w:rsid w:val="007D0138"/>
    <w:rPr>
      <w:rFonts w:ascii="Arial" w:hAnsi="Arial"/>
      <w:b w:val="0"/>
      <w:bCs/>
      <w:color w:val="000000" w:themeColor="text1"/>
      <w:sz w:val="24"/>
    </w:rPr>
  </w:style>
  <w:style w:type="character" w:styleId="Emphasis">
    <w:name w:val="Emphasis"/>
    <w:basedOn w:val="DefaultParagraphFont"/>
    <w:uiPriority w:val="20"/>
    <w:qFormat/>
    <w:rsid w:val="007D0138"/>
    <w:rPr>
      <w:rFonts w:ascii="Arial" w:hAnsi="Arial"/>
      <w:i/>
      <w:iCs/>
      <w:color w:val="auto"/>
      <w:sz w:val="22"/>
    </w:rPr>
  </w:style>
  <w:style w:type="paragraph" w:styleId="NoSpacing">
    <w:name w:val="No Spacing"/>
    <w:link w:val="NoSpacingChar"/>
    <w:uiPriority w:val="1"/>
    <w:qFormat/>
    <w:rsid w:val="00C329BA"/>
    <w:rPr>
      <w:rFonts w:ascii="Arial" w:hAnsi="Arial"/>
      <w:sz w:val="22"/>
      <w:szCs w:val="22"/>
    </w:rPr>
  </w:style>
  <w:style w:type="character" w:customStyle="1" w:styleId="NoSpacingChar">
    <w:name w:val="No Spacing Char"/>
    <w:link w:val="NoSpacing"/>
    <w:uiPriority w:val="1"/>
    <w:rsid w:val="00C329BA"/>
    <w:rPr>
      <w:rFonts w:ascii="Arial" w:hAnsi="Arial"/>
      <w:sz w:val="22"/>
      <w:szCs w:val="22"/>
    </w:rPr>
  </w:style>
  <w:style w:type="character" w:styleId="SubtleReference">
    <w:name w:val="Subtle Reference"/>
    <w:basedOn w:val="DefaultParagraphFont"/>
    <w:uiPriority w:val="31"/>
    <w:qFormat/>
    <w:rsid w:val="00C329BA"/>
    <w:rPr>
      <w:rFonts w:ascii="Palatino Linotype" w:hAnsi="Palatino Linotype"/>
      <w:caps w:val="0"/>
      <w:smallCaps w:val="0"/>
      <w:strike w:val="0"/>
      <w:dstrike w:val="0"/>
      <w:vanish w:val="0"/>
      <w:color w:val="5A5A5A" w:themeColor="text1" w:themeTint="A5"/>
      <w:sz w:val="20"/>
      <w:vertAlign w:val="baseline"/>
    </w:rPr>
  </w:style>
  <w:style w:type="character" w:customStyle="1" w:styleId="Heading1Char">
    <w:name w:val="Heading 1 Char"/>
    <w:basedOn w:val="DefaultParagraphFont"/>
    <w:link w:val="Heading1"/>
    <w:rsid w:val="00B551FD"/>
    <w:rPr>
      <w:rFonts w:ascii="Arial" w:eastAsia="Arial Unicode MS" w:hAnsi="Arial"/>
      <w:b/>
      <w:kern w:val="28"/>
      <w:sz w:val="28"/>
      <w:lang w:val="en-AU"/>
      <w14:ligatures w14:val="none"/>
    </w:rPr>
  </w:style>
  <w:style w:type="character" w:customStyle="1" w:styleId="Heading5Char">
    <w:name w:val="Heading 5 Char"/>
    <w:basedOn w:val="DefaultParagraphFont"/>
    <w:link w:val="Heading5"/>
    <w:uiPriority w:val="9"/>
    <w:semiHidden/>
    <w:rsid w:val="006711CB"/>
    <w:rPr>
      <w:rFonts w:asciiTheme="minorHAnsi" w:eastAsiaTheme="majorEastAsia" w:hAnsiTheme="minorHAnsi" w:cstheme="majorBidi"/>
      <w:color w:val="0F4761" w:themeColor="accent1" w:themeShade="BF"/>
      <w:kern w:val="0"/>
      <w:sz w:val="22"/>
      <w14:ligatures w14:val="none"/>
    </w:rPr>
  </w:style>
  <w:style w:type="character" w:customStyle="1" w:styleId="Heading6Char">
    <w:name w:val="Heading 6 Char"/>
    <w:basedOn w:val="DefaultParagraphFont"/>
    <w:link w:val="Heading6"/>
    <w:uiPriority w:val="9"/>
    <w:semiHidden/>
    <w:rsid w:val="006711CB"/>
    <w:rPr>
      <w:rFonts w:asciiTheme="minorHAnsi" w:eastAsiaTheme="majorEastAsia" w:hAnsiTheme="minorHAnsi" w:cstheme="majorBidi"/>
      <w:i/>
      <w:iCs/>
      <w:color w:val="595959" w:themeColor="text1" w:themeTint="A6"/>
      <w:kern w:val="0"/>
      <w:sz w:val="22"/>
      <w14:ligatures w14:val="none"/>
    </w:rPr>
  </w:style>
  <w:style w:type="character" w:customStyle="1" w:styleId="Heading7Char">
    <w:name w:val="Heading 7 Char"/>
    <w:basedOn w:val="DefaultParagraphFont"/>
    <w:link w:val="Heading7"/>
    <w:uiPriority w:val="9"/>
    <w:semiHidden/>
    <w:rsid w:val="006711CB"/>
    <w:rPr>
      <w:rFonts w:asciiTheme="minorHAnsi" w:eastAsiaTheme="majorEastAsia" w:hAnsiTheme="minorHAnsi" w:cstheme="majorBidi"/>
      <w:color w:val="595959" w:themeColor="text1" w:themeTint="A6"/>
      <w:kern w:val="0"/>
      <w:sz w:val="22"/>
      <w14:ligatures w14:val="none"/>
    </w:rPr>
  </w:style>
  <w:style w:type="character" w:customStyle="1" w:styleId="Heading8Char">
    <w:name w:val="Heading 8 Char"/>
    <w:basedOn w:val="DefaultParagraphFont"/>
    <w:link w:val="Heading8"/>
    <w:uiPriority w:val="9"/>
    <w:semiHidden/>
    <w:rsid w:val="006711CB"/>
    <w:rPr>
      <w:rFonts w:asciiTheme="minorHAnsi" w:eastAsiaTheme="majorEastAsia" w:hAnsiTheme="minorHAnsi" w:cstheme="majorBidi"/>
      <w:i/>
      <w:iCs/>
      <w:color w:val="272727" w:themeColor="text1" w:themeTint="D8"/>
      <w:kern w:val="0"/>
      <w:sz w:val="22"/>
      <w14:ligatures w14:val="none"/>
    </w:rPr>
  </w:style>
  <w:style w:type="character" w:customStyle="1" w:styleId="Heading9Char">
    <w:name w:val="Heading 9 Char"/>
    <w:basedOn w:val="DefaultParagraphFont"/>
    <w:link w:val="Heading9"/>
    <w:uiPriority w:val="9"/>
    <w:semiHidden/>
    <w:rsid w:val="006711CB"/>
    <w:rPr>
      <w:rFonts w:asciiTheme="minorHAnsi" w:eastAsiaTheme="majorEastAsia" w:hAnsiTheme="minorHAnsi" w:cstheme="majorBidi"/>
      <w:color w:val="272727" w:themeColor="text1" w:themeTint="D8"/>
      <w:kern w:val="0"/>
      <w:sz w:val="22"/>
      <w14:ligatures w14:val="none"/>
    </w:rPr>
  </w:style>
  <w:style w:type="paragraph" w:styleId="Quote">
    <w:name w:val="Quote"/>
    <w:basedOn w:val="Normal"/>
    <w:next w:val="Normal"/>
    <w:link w:val="QuoteChar"/>
    <w:uiPriority w:val="29"/>
    <w:qFormat/>
    <w:rsid w:val="006711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11CB"/>
    <w:rPr>
      <w:rFonts w:ascii="Palatino Linotype" w:hAnsi="Palatino Linotype"/>
      <w:i/>
      <w:iCs/>
      <w:color w:val="404040" w:themeColor="text1" w:themeTint="BF"/>
      <w:kern w:val="0"/>
      <w:sz w:val="22"/>
      <w14:ligatures w14:val="none"/>
    </w:rPr>
  </w:style>
  <w:style w:type="character" w:styleId="IntenseEmphasis">
    <w:name w:val="Intense Emphasis"/>
    <w:basedOn w:val="DefaultParagraphFont"/>
    <w:uiPriority w:val="21"/>
    <w:qFormat/>
    <w:rsid w:val="006711CB"/>
    <w:rPr>
      <w:i/>
      <w:iCs/>
      <w:color w:val="0F4761" w:themeColor="accent1" w:themeShade="BF"/>
    </w:rPr>
  </w:style>
  <w:style w:type="paragraph" w:styleId="IntenseQuote">
    <w:name w:val="Intense Quote"/>
    <w:basedOn w:val="Normal"/>
    <w:next w:val="Normal"/>
    <w:link w:val="IntenseQuoteChar"/>
    <w:uiPriority w:val="30"/>
    <w:qFormat/>
    <w:rsid w:val="00671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1CB"/>
    <w:rPr>
      <w:rFonts w:ascii="Palatino Linotype" w:hAnsi="Palatino Linotype"/>
      <w:i/>
      <w:iCs/>
      <w:color w:val="0F4761" w:themeColor="accent1" w:themeShade="BF"/>
      <w:kern w:val="0"/>
      <w:sz w:val="22"/>
      <w14:ligatures w14:val="none"/>
    </w:rPr>
  </w:style>
  <w:style w:type="character" w:styleId="IntenseReference">
    <w:name w:val="Intense Reference"/>
    <w:basedOn w:val="DefaultParagraphFont"/>
    <w:uiPriority w:val="32"/>
    <w:qFormat/>
    <w:rsid w:val="006711CB"/>
    <w:rPr>
      <w:b/>
      <w:bCs/>
      <w:smallCaps/>
      <w:color w:val="0F4761" w:themeColor="accent1" w:themeShade="BF"/>
      <w:spacing w:val="5"/>
    </w:rPr>
  </w:style>
  <w:style w:type="character" w:styleId="Hyperlink">
    <w:name w:val="Hyperlink"/>
    <w:rsid w:val="006711CB"/>
    <w:rPr>
      <w:b/>
      <w:color w:val="FF8700"/>
      <w:u w:val="none"/>
    </w:rPr>
  </w:style>
  <w:style w:type="paragraph" w:styleId="NormalWeb">
    <w:name w:val="Normal (Web)"/>
    <w:basedOn w:val="Normal"/>
    <w:uiPriority w:val="99"/>
    <w:rsid w:val="006711CB"/>
    <w:pPr>
      <w:spacing w:before="100" w:after="100"/>
    </w:pPr>
    <w:rPr>
      <w:rFonts w:ascii="Arial" w:eastAsia="Arial Unicode MS" w:hAnsi="Arial"/>
      <w:sz w:val="20"/>
      <w:lang w:val="en-AU"/>
    </w:rPr>
  </w:style>
  <w:style w:type="paragraph" w:styleId="EndnoteText">
    <w:name w:val="endnote text"/>
    <w:basedOn w:val="Normal"/>
    <w:link w:val="EndnoteTextChar"/>
    <w:uiPriority w:val="99"/>
    <w:unhideWhenUsed/>
    <w:rsid w:val="006711CB"/>
    <w:pPr>
      <w:spacing w:after="200" w:line="276" w:lineRule="auto"/>
      <w:jc w:val="both"/>
    </w:pPr>
    <w:rPr>
      <w:rFonts w:ascii="Calibri" w:eastAsia="Calibri" w:hAnsi="Calibri"/>
      <w:sz w:val="20"/>
    </w:rPr>
  </w:style>
  <w:style w:type="character" w:customStyle="1" w:styleId="EndnoteTextChar">
    <w:name w:val="Endnote Text Char"/>
    <w:basedOn w:val="DefaultParagraphFont"/>
    <w:link w:val="EndnoteText"/>
    <w:uiPriority w:val="99"/>
    <w:rsid w:val="006711CB"/>
    <w:rPr>
      <w:rFonts w:ascii="Calibri" w:eastAsia="Calibri" w:hAnsi="Calibri"/>
      <w:kern w:val="0"/>
      <w14:ligatures w14:val="none"/>
    </w:rPr>
  </w:style>
  <w:style w:type="character" w:styleId="EndnoteReference">
    <w:name w:val="endnote reference"/>
    <w:uiPriority w:val="99"/>
    <w:unhideWhenUsed/>
    <w:rsid w:val="006711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endnotes.xml.rels><?xml version="1.0" encoding="UTF-8" standalone="yes"?>
<Relationships xmlns="http://schemas.openxmlformats.org/package/2006/relationships"><Relationship Id="rId8" Type="http://schemas.openxmlformats.org/officeDocument/2006/relationships/hyperlink" Target="https://doi.org/10.1002/aps.1838" TargetMode="External"/><Relationship Id="rId3" Type="http://schemas.openxmlformats.org/officeDocument/2006/relationships/hyperlink" Target="https://doi.org/10.52214/cjgl.v42i1.9373" TargetMode="External"/><Relationship Id="rId7" Type="http://schemas.openxmlformats.org/officeDocument/2006/relationships/hyperlink" Target="http://dx.doi.org/10.3390/laws5010014" TargetMode="External"/><Relationship Id="rId2" Type="http://schemas.openxmlformats.org/officeDocument/2006/relationships/hyperlink" Target="https://doi.org/10.1007/s10896-013-9528-7" TargetMode="External"/><Relationship Id="rId1" Type="http://schemas.openxmlformats.org/officeDocument/2006/relationships/hyperlink" Target="https://doi.org/10.1002/aps.1838" TargetMode="External"/><Relationship Id="rId6" Type="http://schemas.openxmlformats.org/officeDocument/2006/relationships/hyperlink" Target="https://doi.org/10.1177/1077801209347091" TargetMode="External"/><Relationship Id="rId5" Type="http://schemas.openxmlformats.org/officeDocument/2006/relationships/hyperlink" Target="https://www.jstor.org/stable/26977930" TargetMode="External"/><Relationship Id="rId10" Type="http://schemas.openxmlformats.org/officeDocument/2006/relationships/hyperlink" Target="https://doi.org/10.1007/s10464-005-6240-7" TargetMode="External"/><Relationship Id="rId4" Type="http://schemas.openxmlformats.org/officeDocument/2006/relationships/hyperlink" Target="http://www.ncjfcj.org/sites/default/files/judicial%20guide_0_0.pdf" TargetMode="External"/><Relationship Id="rId9" Type="http://schemas.openxmlformats.org/officeDocument/2006/relationships/hyperlink" Target="https://www.researchgate.net/profile/Daniel-Saunders/publication/346273346_Custody_and_Visitation_Decisions_in_Cases_of_Intimate_Partner_Violence_Evidence_of_Major_Problems_and_Promising_Solutions_Testimony_before_the_State_of_Maryland_Workgroup_to_Study_Child_Custody_Court_/links/5fbd64bf92851c933f5767aa/Custody-and-Visitation-Decisions-in-Cases-of-Intimate-Partner-Violence-Evidence-of-Major-Problems-and-Promising-Solutions-Testimony-before-the-State-of-Maryland-Workgroup-to-Study-Child-Custody-Cou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972</Words>
  <Characters>5544</Characters>
  <Application>Microsoft Office Word</Application>
  <DocSecurity>0</DocSecurity>
  <Lines>46</Lines>
  <Paragraphs>13</Paragraphs>
  <ScaleCrop>false</ScaleCrop>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Wingfield</dc:creator>
  <cp:keywords/>
  <dc:description/>
  <cp:lastModifiedBy>Debra Wingfield</cp:lastModifiedBy>
  <cp:revision>1</cp:revision>
  <dcterms:created xsi:type="dcterms:W3CDTF">2025-03-14T19:48:00Z</dcterms:created>
  <dcterms:modified xsi:type="dcterms:W3CDTF">2025-03-14T19:48:00Z</dcterms:modified>
</cp:coreProperties>
</file>